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Определение состава и содержания организационных и технических мер по обеспечению безопасности персональных данных при их обработке в информационных системах ПДн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fwmzhm7olxj" w:id="17"/>
      <w:bookmarkEnd w:id="17"/>
      <w:r w:rsidDel="00000000" w:rsidR="00000000" w:rsidRPr="00000000">
        <w:rPr>
          <w:rtl w:val="0"/>
        </w:rPr>
        <w:t xml:space="preserve">Таблица результатов оценки угроз с «подписями» экспертов</w:t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4"/>
        <w:gridCol w:w="2041.4"/>
        <w:gridCol w:w="2041.4"/>
        <w:gridCol w:w="2041.4"/>
        <w:gridCol w:w="2041.4"/>
        <w:tblGridChange w:id="0">
          <w:tblGrid>
            <w:gridCol w:w="2041.4"/>
            <w:gridCol w:w="2041.4"/>
            <w:gridCol w:w="2041.4"/>
            <w:gridCol w:w="2041.4"/>
            <w:gridCol w:w="2041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Эксперты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УБИ. 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УБИ. 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УБИ. 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УБИ. 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Вебер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Низкое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Колесников 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Низкое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Маркевцев 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Низкое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Высокое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cnj5osbx9dew" w:id="18"/>
      <w:bookmarkEnd w:id="18"/>
      <w:r w:rsidDel="00000000" w:rsidR="00000000" w:rsidRPr="00000000">
        <w:rPr>
          <w:rtl w:val="0"/>
        </w:rPr>
        <w:t xml:space="preserve">Таблица адаптированного базового набора мер</w:t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805"/>
        <w:gridCol w:w="2685"/>
        <w:gridCol w:w="1740"/>
        <w:tblGridChange w:id="0">
          <w:tblGrid>
            <w:gridCol w:w="2910"/>
            <w:gridCol w:w="2805"/>
            <w:gridCol w:w="268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Возможные угрозы безопасности ПДн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Меры по приказу №21 ФСТЭК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Программные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УБИ. 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VI. Антивирусная защита (АВЗ)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Kaspersky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1959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УБИ. 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XIII. Защита информационной системы, ее средств, систем связи и передачи данных (3ИС)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 доступа к аппаратным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средствам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УБИ. 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VI. Антивирусная защита (АВЗ)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Kaspersky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1959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УБИ. 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XII. Защита технических средств (ЗТС)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1959 руб.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tlat69gc8h7c" w:id="19"/>
      <w:bookmarkEnd w:id="1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ходе данной работы была произведена оценка модели угроз и осуществлен расчет стоимости обеспечения безопасности.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41s8grxcqojt" w:id="20"/>
      <w:bookmarkEnd w:id="20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Какое основное требование к средствам защиты информации установлено в Приказе №21?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– Обеспечение конфиденциальности, целостности и доступности информации, а также защита от утечки и несанкционированного доступа.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Что должны обеспечивать меры по идентификации и аутентификации субъектов доступа и объектов доступа?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Уникальность идентификации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Аутентификация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Авторизация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Конфиденциальность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Непрерывность и доступность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Аудит и мониторинг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Что должны обеспечивать меры по антивирусной защите?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 Защиту от различного вредоносного ПО.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ind w:firstLine="0"/>
      <w:jc w:val="center"/>
      <w:rPr/>
    </w:pPr>
    <w:bookmarkStart w:colFirst="0" w:colLast="0" w:name="_erwzswfuyyjv" w:id="21"/>
    <w:bookmarkEnd w:id="21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