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B3A5C"/>
          <w:sz w:val="38"/>
          <w:szCs w:val="38"/>
        </w:rPr>
        <w:t xml:space="preserve">Distributed Multi-Agent Coordination for</w:t>
      </w:r>
    </w:p>
    <w:p>
      <w:pPr>
        <w:spacing w:before="0" w:after="80"/>
        <w:jc w:val="center"/>
      </w:pPr>
      <w:r>
        <w:rPr>
          <w:rFonts w:ascii="Arial" w:cs="Arial" w:eastAsia="Arial" w:hAnsi="Arial"/>
          <w:b/>
          <w:bCs/>
          <w:color w:val="1B3A5C"/>
          <w:sz w:val="38"/>
          <w:szCs w:val="38"/>
        </w:rPr>
        <w:t xml:space="preserve">Self-Healing Data Pipelines:</w:t>
      </w:r>
    </w:p>
    <w:p>
      <w:pPr>
        <w:spacing w:before="0" w:after="200"/>
        <w:jc w:val="center"/>
      </w:pPr>
      <w:r>
        <w:rPr>
          <w:rFonts w:ascii="Arial" w:cs="Arial" w:eastAsia="Arial" w:hAnsi="Arial"/>
          <w:b/>
          <w:bCs/>
          <w:color w:val="1A7A8A"/>
          <w:sz w:val="32"/>
          <w:szCs w:val="32"/>
        </w:rPr>
        <w:t xml:space="preserve">A Human-in-the-Loop Approach on Commodity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Undergraduate FYP</w:t>
            </w:r>
          </w:p>
        </w:tc>
        <w:tc>
          <w:tcPr>
            <w:tcW w:type="dxa" w:w="5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6th to 8th Semester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Project Duration</w:t>
            </w:r>
          </w:p>
        </w:tc>
        <w:tc>
          <w:tcPr>
            <w:tcW w:type="dxa" w:w="5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March 2026 — December 2026</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Team</w:t>
            </w:r>
          </w:p>
        </w:tc>
        <w:tc>
          <w:tcPr>
            <w:tcW w:type="dxa" w:w="5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Muhammad Adeel &amp; Muhammad Asim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Supervisor</w:t>
            </w:r>
          </w:p>
        </w:tc>
        <w:tc>
          <w:tcPr>
            <w:tcW w:type="dxa" w:w="5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Dr. Laeeq Ahmed</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Department</w:t>
            </w:r>
          </w:p>
        </w:tc>
        <w:tc>
          <w:tcPr>
            <w:tcW w:type="dxa" w:w="5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Department of CS&amp;IT, UET Peshawar (Nowshera Campus)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Version</w:t>
            </w:r>
          </w:p>
        </w:tc>
        <w:tc>
          <w:tcPr>
            <w:tcW w:type="dxa" w:w="5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5.0 — March 2026  (FINAL)</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Target Submission</w:t>
            </w:r>
          </w:p>
        </w:tc>
        <w:tc>
          <w:tcPr>
            <w:tcW w:type="dxa" w:w="5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31 December 2026</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8"/>
              <w:bottom w:val="single" w:color="C45E00" w:sz="1"/>
              <w:right w:val="single" w:color="C45E00" w:sz="1"/>
            </w:tcBorders>
            <w:shd w:fill="FEF3E2" w:val="clear"/>
            <w:tcMar>
              <w:top w:type="dxa" w:w="130"/>
              <w:left w:type="dxa" w:w="200"/>
              <w:bottom w:type="dxa" w:w="130"/>
              <w:right w:type="dxa" w:w="160"/>
            </w:tcMar>
          </w:tcPr>
          <w:p>
            <w:pPr>
              <w:spacing w:before="0" w:after="80"/>
            </w:pPr>
            <w:r>
              <w:rPr>
                <w:rFonts w:ascii="Arial" w:cs="Arial" w:eastAsia="Arial" w:hAnsi="Arial"/>
                <w:b/>
                <w:bCs/>
                <w:color w:val="C45E00"/>
                <w:sz w:val="21"/>
                <w:szCs w:val="21"/>
              </w:rPr>
              <w:t xml:space="preserve">Version 5 — Changes from v4</w:t>
            </w:r>
          </w:p>
          <w:p>
            <w:pPr>
              <w:pStyle w:val="ListParagraph"/>
              <w:numPr>
                <w:ilvl w:val="0"/>
                <w:numId w:val="2"/>
              </w:numPr>
              <w:spacing w:before="60" w:after="60"/>
            </w:pPr>
            <w:r>
              <w:rPr>
                <w:rFonts w:ascii="Arial" w:cs="Arial" w:eastAsia="Arial" w:hAnsi="Arial"/>
                <w:color w:val="222222"/>
                <w:sz w:val="20"/>
                <w:szCs w:val="20"/>
              </w:rPr>
              <w:t xml:space="preserve">LLM updated from Phi-3.5 Mini to Phi-4 Mini throughout. Same 3.8B parameter count and 4-bit quantisation. Phi-4 Mini selected for superior function calling reliability, unified 16K context window, stronger reasoning benchmarks, and a more recent training cutoff (June 2024). Phi-4 Mini Reasoning variant evaluated and rejected: CoT thinking trace inflates response latency and math-focused fine-tuning degrades function calling — both contradict the system’s low-latency, tool-use design goals.</w:t>
            </w:r>
          </w:p>
          <w:p>
            <w:pPr>
              <w:pStyle w:val="ListParagraph"/>
              <w:numPr>
                <w:ilvl w:val="0"/>
                <w:numId w:val="2"/>
              </w:numPr>
              <w:spacing w:before="60" w:after="60"/>
            </w:pPr>
            <w:r>
              <w:rPr>
                <w:rFonts w:ascii="Arial" w:cs="Arial" w:eastAsia="Arial" w:hAnsi="Arial"/>
                <w:color w:val="222222"/>
                <w:sz w:val="20"/>
                <w:szCs w:val="20"/>
              </w:rPr>
              <w:t xml:space="preserve">Network Latency Drift permanently removed. Auth Failure Flood fully restored.</w:t>
            </w:r>
          </w:p>
          <w:p>
            <w:pPr>
              <w:pStyle w:val="ListParagraph"/>
              <w:numPr>
                <w:ilvl w:val="0"/>
                <w:numId w:val="2"/>
              </w:numPr>
              <w:spacing w:before="60" w:after="60"/>
            </w:pPr>
            <w:r>
              <w:rPr>
                <w:rFonts w:ascii="Arial" w:cs="Arial" w:eastAsia="Arial" w:hAnsi="Arial"/>
                <w:color w:val="222222"/>
                <w:sz w:val="20"/>
                <w:szCs w:val="20"/>
              </w:rPr>
              <w:t xml:space="preserve">All five original anomaly types restored with correct datasets (NAB, Loghub, KDD99, Pydantic).</w:t>
            </w:r>
          </w:p>
          <w:p>
            <w:pPr>
              <w:pStyle w:val="ListParagraph"/>
              <w:numPr>
                <w:ilvl w:val="0"/>
                <w:numId w:val="2"/>
              </w:numPr>
              <w:spacing w:before="60" w:after="60"/>
            </w:pPr>
            <w:r>
              <w:rPr>
                <w:rFonts w:ascii="Arial" w:cs="Arial" w:eastAsia="Arial" w:hAnsi="Arial"/>
                <w:color w:val="222222"/>
                <w:sz w:val="20"/>
                <w:szCs w:val="20"/>
              </w:rPr>
              <w:t xml:space="preserve">'Trained from scratch' replaced with accurate language: trained or fitted on real public datasets.</w:t>
            </w:r>
          </w:p>
          <w:p>
            <w:pPr>
              <w:pStyle w:val="ListParagraph"/>
              <w:numPr>
                <w:ilvl w:val="0"/>
                <w:numId w:val="2"/>
              </w:numPr>
              <w:spacing w:before="60" w:after="60"/>
            </w:pPr>
            <w:r>
              <w:rPr>
                <w:rFonts w:ascii="Arial" w:cs="Arial" w:eastAsia="Arial" w:hAnsi="Arial"/>
                <w:color w:val="222222"/>
                <w:sz w:val="20"/>
                <w:szCs w:val="20"/>
              </w:rPr>
              <w:t xml:space="preserve">Edge vs Cloud LLM comparison restored to Optional — activated only if API access is obtained.</w:t>
            </w:r>
          </w:p>
          <w:p>
            <w:pPr>
              <w:pStyle w:val="ListParagraph"/>
              <w:numPr>
                <w:ilvl w:val="0"/>
                <w:numId w:val="2"/>
              </w:numPr>
              <w:spacing w:before="60" w:after="60"/>
            </w:pPr>
            <w:r>
              <w:rPr>
                <w:rFonts w:ascii="Arial" w:cs="Arial" w:eastAsia="Arial" w:hAnsi="Arial"/>
                <w:color w:val="222222"/>
                <w:sz w:val="20"/>
                <w:szCs w:val="20"/>
              </w:rPr>
              <w:t xml:space="preserve">Contribution wording aligned exactly with the Literature Review document.</w:t>
            </w:r>
          </w:p>
          <w:p>
            <w:pPr>
              <w:pStyle w:val="ListParagraph"/>
              <w:numPr>
                <w:ilvl w:val="0"/>
                <w:numId w:val="2"/>
              </w:numPr>
              <w:spacing w:before="60" w:after="60"/>
            </w:pPr>
            <w:r>
              <w:rPr>
                <w:rFonts w:ascii="Arial" w:cs="Arial" w:eastAsia="Arial" w:hAnsi="Arial"/>
                <w:color w:val="222222"/>
                <w:sz w:val="20"/>
                <w:szCs w:val="20"/>
              </w:rPr>
              <w:t xml:space="preserve">Real-stream replay experiment added to Phase 5 (30-minute Loghub HDFS trace injection).</w:t>
            </w:r>
          </w:p>
          <w:p>
            <w:pPr>
              <w:pStyle w:val="ListParagraph"/>
              <w:numPr>
                <w:ilvl w:val="0"/>
                <w:numId w:val="2"/>
              </w:numPr>
              <w:spacing w:before="60" w:after="60"/>
            </w:pPr>
            <w:r>
              <w:rPr>
                <w:rFonts w:ascii="Arial" w:cs="Arial" w:eastAsia="Arial" w:hAnsi="Arial"/>
                <w:color w:val="222222"/>
                <w:sz w:val="20"/>
                <w:szCs w:val="20"/>
              </w:rPr>
              <w:t xml:space="preserve">Feedback-driven adaptive learning added to Design Philosophy.</w:t>
            </w:r>
          </w:p>
          <w:p>
            <w:pPr>
              <w:pStyle w:val="ListParagraph"/>
              <w:numPr>
                <w:ilvl w:val="0"/>
                <w:numId w:val="2"/>
              </w:numPr>
              <w:spacing w:before="60" w:after="60"/>
            </w:pPr>
            <w:r>
              <w:rPr>
                <w:rFonts w:ascii="Arial" w:cs="Arial" w:eastAsia="Arial" w:hAnsi="Arial"/>
                <w:color w:val="222222"/>
                <w:sz w:val="20"/>
                <w:szCs w:val="20"/>
              </w:rPr>
              <w:t xml:space="preserve">All sections connected to the four cited papers in the Literature Review.</w:t>
            </w:r>
          </w:p>
        </w:tc>
      </w:tr>
    </w:tbl>
    <w:p>
      <w:pPr>
        <w:spacing w:before="80" w:after="8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1. Research Context &amp;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8"/>
              <w:bottom w:val="single" w:color="1A7A8A" w:sz="1"/>
              <w:right w:val="single" w:color="1A7A8A" w:sz="1"/>
            </w:tcBorders>
            <w:shd w:fill="EAF4F6" w:val="clear"/>
            <w:tcMar>
              <w:top w:type="dxa" w:w="130"/>
              <w:left w:type="dxa" w:w="200"/>
              <w:bottom w:type="dxa" w:w="130"/>
              <w:right w:type="dxa" w:w="160"/>
            </w:tcMar>
          </w:tcPr>
          <w:p>
            <w:pPr>
              <w:spacing w:before="0" w:after="80"/>
            </w:pPr>
            <w:r>
              <w:rPr>
                <w:rFonts w:ascii="Arial" w:cs="Arial" w:eastAsia="Arial" w:hAnsi="Arial"/>
                <w:b/>
                <w:bCs/>
                <w:color w:val="1A7A8A"/>
                <w:sz w:val="21"/>
                <w:szCs w:val="21"/>
              </w:rPr>
              <w:t xml:space="preserve">Critical Research Gap — Why This Project Exists</w:t>
            </w:r>
          </w:p>
          <w:p>
            <w:pPr>
              <w:spacing w:before="80" w:after="80"/>
              <w:jc w:val="both"/>
            </w:pPr>
            <w:r>
              <w:rPr>
                <w:rFonts w:ascii="Arial" w:cs="Arial" w:eastAsia="Arial" w:hAnsi="Arial"/>
                <w:b w:val="false"/>
                <w:bCs w:val="false"/>
                <w:i w:val="false"/>
                <w:iCs w:val="false"/>
                <w:color w:val="222222"/>
                <w:sz w:val="20"/>
                <w:szCs w:val="20"/>
              </w:rPr>
              <w:t xml:space="preserve">Four papers published in 2025 confirm the value of agentic self-healing pipelines but share a consistent and critical weakness established in our Literature Review: none implement, deploy, or empirically evaluate their frameworks on real distributed commodity hardware.</w:t>
            </w:r>
          </w:p>
          <w:p>
            <w:pPr>
              <w:spacing w:before="40" w:after="40"/>
            </w:pPr>
            <w:r>
              <w:t xml:space="preserve"/>
            </w:r>
          </w:p>
          <w:p>
            <w:pPr>
              <w:pStyle w:val="ListParagraph"/>
              <w:numPr>
                <w:ilvl w:val="0"/>
                <w:numId w:val="2"/>
              </w:numPr>
              <w:spacing w:before="60" w:after="60"/>
            </w:pPr>
            <w:r>
              <w:rPr>
                <w:rFonts w:ascii="Arial" w:cs="Arial" w:eastAsia="Arial" w:hAnsi="Arial"/>
                <w:color w:val="222222"/>
                <w:sz w:val="20"/>
                <w:szCs w:val="20"/>
              </w:rPr>
              <w:t xml:space="preserve">Mayilsamy (2025) — Comprehensive survey of streaming LLMs. Validates 4-bit quantisation and async decoupling as production-viable techniques. Provides no implementation evidence on real hardware and identifies commodity edge deployment as a future direction.</w:t>
            </w:r>
          </w:p>
          <w:p>
            <w:pPr>
              <w:pStyle w:val="ListParagraph"/>
              <w:numPr>
                <w:ilvl w:val="0"/>
                <w:numId w:val="2"/>
              </w:numPr>
              <w:spacing w:before="60" w:after="60"/>
            </w:pPr>
            <w:r>
              <w:rPr>
                <w:rFonts w:ascii="Arial" w:cs="Arial" w:eastAsia="Arial" w:hAnsi="Arial"/>
                <w:color w:val="222222"/>
                <w:sz w:val="20"/>
                <w:szCs w:val="20"/>
              </w:rPr>
              <w:t xml:space="preserve">Chakraborty (2025) — Documents the operational value of horizontal and vertical AI agents in self-healing pipelines. No working system, no benchmark results. Treats AI reasoning as a monolithic entity without addressing multi-agent decomposition.</w:t>
            </w:r>
          </w:p>
          <w:p>
            <w:pPr>
              <w:pStyle w:val="ListParagraph"/>
              <w:numPr>
                <w:ilvl w:val="0"/>
                <w:numId w:val="2"/>
              </w:numPr>
              <w:spacing w:before="60" w:after="60"/>
            </w:pPr>
            <w:r>
              <w:rPr>
                <w:rFonts w:ascii="Arial" w:cs="Arial" w:eastAsia="Arial" w:hAnsi="Arial"/>
                <w:color w:val="222222"/>
                <w:sz w:val="20"/>
                <w:szCs w:val="20"/>
              </w:rPr>
              <w:t xml:space="preserve">Kothamasu (2025) — Layered generative AI architecture for self-healing pipelines. Explicitly acknowledges unresolved LLM latency problems in streaming environments. No experiments and no prototype. Knowledge accumulation described but never implemented.</w:t>
            </w:r>
          </w:p>
          <w:p>
            <w:pPr>
              <w:pStyle w:val="ListParagraph"/>
              <w:numPr>
                <w:ilvl w:val="0"/>
                <w:numId w:val="2"/>
              </w:numPr>
              <w:spacing w:before="60" w:after="60"/>
            </w:pPr>
            <w:r>
              <w:rPr>
                <w:rFonts w:ascii="Arial" w:cs="Arial" w:eastAsia="Arial" w:hAnsi="Arial"/>
                <w:color w:val="222222"/>
                <w:sz w:val="20"/>
                <w:szCs w:val="20"/>
              </w:rPr>
              <w:t xml:space="preserve">Kirubakaran et al. (2025) — The most rigorous: policy-bounded agentic control with real results (45% MTTR reduction, 70% fewer manual interventions). But exclusively cloud-managed with GPU-backed frontier LLMs. Explicitly identifies multi-agent coordination and policy learning as future work.</w:t>
            </w:r>
          </w:p>
          <w:p>
            <w:pPr>
              <w:spacing w:before="40" w:after="40"/>
            </w:pPr>
            <w:r>
              <w:t xml:space="preserve"/>
            </w:r>
          </w:p>
          <w:p>
            <w:pPr>
              <w:spacing w:before="80" w:after="80"/>
              <w:jc w:val="both"/>
            </w:pPr>
            <w:r>
              <w:rPr>
                <w:rFonts w:ascii="Arial" w:cs="Arial" w:eastAsia="Arial" w:hAnsi="Arial"/>
                <w:b/>
                <w:bCs/>
                <w:i w:val="false"/>
                <w:iCs w:val="false"/>
                <w:color w:val="1B3A5C"/>
                <w:sz w:val="20"/>
                <w:szCs w:val="20"/>
              </w:rPr>
              <w:t xml:space="preserve">No existing work implements, deploys, or benchmarks a multi-agent self-healing pipeline on real distributed commodity hardware. This project directly fills that gap.</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1.1 Primary Research Goal</w:t>
      </w:r>
    </w:p>
    <w:p>
      <w:pPr>
        <w:spacing w:before="80" w:after="80"/>
        <w:jc w:val="both"/>
      </w:pPr>
      <w:r>
        <w:rPr>
          <w:rFonts w:ascii="Arial" w:cs="Arial" w:eastAsia="Arial" w:hAnsi="Arial"/>
          <w:b w:val="false"/>
          <w:bCs w:val="false"/>
          <w:i w:val="false"/>
          <w:iCs w:val="false"/>
          <w:color w:val="222222"/>
          <w:sz w:val="20"/>
          <w:szCs w:val="20"/>
        </w:rPr>
        <w:t xml:space="preserve">Implement, deploy, and empirically benchmark a five-anomaly, four-agent self-healing data pipeline system on a three-node commodity CPU-only Ethernet cluster — producing the first measured evidence of whether policy-bounded multi-agent coordination, human-in-the-loop governance, and adaptive learning remain effective when frontier cloud LLMs and managed cloud infrastructure are replaced by a quantised Phi-4 Mini and off-the-shelf commodity hardware.</w:t>
      </w:r>
    </w:p>
    <w:p>
      <w:pPr>
        <w:spacing w:before="80" w:after="80"/>
      </w:pPr>
      <w:r>
        <w:t xml:space="preserve"/>
      </w:r>
    </w:p>
    <w:p>
      <w:pPr>
        <w:pStyle w:val="Heading2"/>
        <w:spacing w:before="240" w:after="110"/>
      </w:pPr>
      <w:r>
        <w:rPr>
          <w:rFonts w:ascii="Arial" w:cs="Arial" w:eastAsia="Arial" w:hAnsi="Arial"/>
          <w:b/>
          <w:bCs/>
          <w:color w:val="1A7A8A"/>
          <w:sz w:val="26"/>
          <w:szCs w:val="26"/>
        </w:rPr>
        <w:t xml:space="preserve">1.2 Architecture Design Philosophy</w:t>
      </w:r>
    </w:p>
    <w:p>
      <w:pPr>
        <w:pStyle w:val="ListParagraph"/>
        <w:numPr>
          <w:ilvl w:val="0"/>
          <w:numId w:val="2"/>
        </w:numPr>
        <w:spacing w:before="60" w:after="60"/>
      </w:pPr>
      <w:r>
        <w:rPr>
          <w:rFonts w:ascii="Arial" w:cs="Arial" w:eastAsia="Arial" w:hAnsi="Arial"/>
          <w:color w:val="222222"/>
          <w:sz w:val="20"/>
          <w:szCs w:val="20"/>
        </w:rPr>
        <w:t xml:space="preserve">Decoupled synchronous/asynchronous processing — the pipeline never waits for LLM inference. Layer 1 anomaly detection operates in milliseconds using lightweight ML models. Layer 2 LLM reasoning operates asynchronously off the critical path. Resolves the LLM latency problem on the data path that Kothamasu identifies but does not solve.</w:t>
      </w:r>
    </w:p>
    <w:p>
      <w:pPr>
        <w:pStyle w:val="ListParagraph"/>
        <w:numPr>
          <w:ilvl w:val="0"/>
          <w:numId w:val="2"/>
        </w:numPr>
        <w:spacing w:before="60" w:after="60"/>
      </w:pPr>
      <w:r>
        <w:rPr>
          <w:rFonts w:ascii="Arial" w:cs="Arial" w:eastAsia="Arial" w:hAnsi="Arial"/>
          <w:color w:val="222222"/>
          <w:sz w:val="20"/>
          <w:szCs w:val="20"/>
        </w:rPr>
        <w:t xml:space="preserve">Tiered autonomy — the Policy Agent classifies every remediation action by risk tier. Low-risk actions auto-execute. High-risk actions require mandatory human approval via the HITL Gateway. Policy-bounded autonomy follows the governance principle validated by Kirubakaran et al.</w:t>
      </w:r>
    </w:p>
    <w:p>
      <w:pPr>
        <w:pStyle w:val="ListParagraph"/>
        <w:numPr>
          <w:ilvl w:val="0"/>
          <w:numId w:val="2"/>
        </w:numPr>
        <w:spacing w:before="60" w:after="60"/>
      </w:pPr>
      <w:r>
        <w:rPr>
          <w:rFonts w:ascii="Arial" w:cs="Arial" w:eastAsia="Arial" w:hAnsi="Arial"/>
          <w:color w:val="222222"/>
          <w:sz w:val="20"/>
          <w:szCs w:val="20"/>
        </w:rPr>
        <w:t xml:space="preserve">Commodity-first deployment — every component runs on mid-range AMD Ryzen 5 and Intel Core i5 machines with integrated graphics only. Phi-4 Mini at 4-bit quantisation operates within 8GB shared memory. This constraint is the research contribution, extending Kirubakaran's cloud evaluation to the commodity context validated theoretically by Mayilsamy.</w:t>
      </w:r>
    </w:p>
    <w:p>
      <w:pPr>
        <w:pStyle w:val="ListParagraph"/>
        <w:numPr>
          <w:ilvl w:val="0"/>
          <w:numId w:val="2"/>
        </w:numPr>
        <w:spacing w:before="60" w:after="60"/>
      </w:pPr>
      <w:r>
        <w:rPr>
          <w:rFonts w:ascii="Arial" w:cs="Arial" w:eastAsia="Arial" w:hAnsi="Arial"/>
          <w:color w:val="222222"/>
          <w:sz w:val="20"/>
          <w:szCs w:val="20"/>
        </w:rPr>
        <w:t xml:space="preserve">Feedback-driven adaptive learning — ChromaDB is not a static RAG store. The Learning Agent evolves it after every resolved incident, operationalising the knowledge accumulation concept described but never implemented by Chakraborty and Kothamasu.</w:t>
      </w:r>
    </w:p>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2. System Architecture</w:t>
      </w:r>
    </w:p>
    <w:p>
      <w:pPr>
        <w:pStyle w:val="Heading2"/>
        <w:spacing w:before="240" w:after="110"/>
      </w:pPr>
      <w:r>
        <w:rPr>
          <w:rFonts w:ascii="Arial" w:cs="Arial" w:eastAsia="Arial" w:hAnsi="Arial"/>
          <w:b/>
          <w:bCs/>
          <w:color w:val="1A7A8A"/>
          <w:sz w:val="26"/>
          <w:szCs w:val="26"/>
        </w:rPr>
        <w:t xml:space="preserve">2.1 Three-Layer Visual Overview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before="0" w:after="50"/>
            </w:pPr>
            <w:r>
              <w:rPr>
                <w:rFonts w:ascii="Arial" w:cs="Arial" w:eastAsia="Arial" w:hAnsi="Arial"/>
                <w:b/>
                <w:bCs/>
                <w:color w:val="FFFFFF"/>
                <w:sz w:val="22"/>
                <w:szCs w:val="22"/>
              </w:rPr>
              <w:t xml:space="preserve">LAYER 1 — REAL-TIME DATA PLANE</w:t>
            </w:r>
          </w:p>
          <w:p>
            <w:pPr>
              <w:spacing w:before="0" w:after="50"/>
            </w:pPr>
            <w:r>
              <w:rPr>
                <w:rFonts w:ascii="Arial" w:cs="Arial" w:eastAsia="Arial" w:hAnsi="Arial"/>
                <w:color w:val="BBDDEE"/>
                <w:sz w:val="18"/>
                <w:szCs w:val="18"/>
              </w:rPr>
              <w:t xml:space="preserve">Node 1  ·  AMD Ryzen 5  ·  Ubuntu Desktop  ·  SYNCHRONOUS</w:t>
            </w:r>
          </w:p>
          <w:p>
            <w:pPr>
              <w:spacing w:before="0" w:after="0"/>
            </w:pPr>
            <w:r>
              <w:rPr>
                <w:rFonts w:ascii="Arial" w:cs="Arial" w:eastAsia="Arial" w:hAnsi="Arial"/>
                <w:i/>
                <w:iCs/>
                <w:color w:val="FFFFFF"/>
                <w:sz w:val="20"/>
                <w:szCs w:val="20"/>
              </w:rPr>
              <w:t xml:space="preserve">SEG → Stream Processor (Pydantic) → ADM (5 Anomaly Types) → DLX → RabbitMQ</w:t>
            </w:r>
          </w:p>
        </w:tc>
      </w:tr>
      <w:tr>
        <w:tc>
          <w:tcPr>
            <w:tcW w:type="dxa" w:w="9360"/>
            <w:tcBorders>
              <w:top w:val="none" w:color="FFFFFF" w:sz="0"/>
              <w:left w:val="none" w:color="FFFFFF" w:sz="0"/>
              <w:bottom w:val="none" w:color="FFFFFF" w:sz="0"/>
              <w:right w:val="none" w:color="FFFFFF" w:sz="0"/>
            </w:tcBorders>
            <w:shd w:fill="1A7A8A" w:val="clear"/>
            <w:tcMar>
              <w:top w:type="dxa" w:w="140"/>
              <w:left w:type="dxa" w:w="200"/>
              <w:bottom w:type="dxa" w:w="140"/>
              <w:right w:type="dxa" w:w="200"/>
            </w:tcMar>
          </w:tcPr>
          <w:p>
            <w:pPr>
              <w:spacing w:before="0" w:after="50"/>
            </w:pPr>
            <w:r>
              <w:rPr>
                <w:rFonts w:ascii="Arial" w:cs="Arial" w:eastAsia="Arial" w:hAnsi="Arial"/>
                <w:b/>
                <w:bCs/>
                <w:color w:val="FFFFFF"/>
                <w:sz w:val="22"/>
                <w:szCs w:val="22"/>
              </w:rPr>
              <w:t xml:space="preserve">LAYER 2 — MULTI-AGENT AI CONTROL PLANE</w:t>
            </w:r>
          </w:p>
          <w:p>
            <w:pPr>
              <w:spacing w:before="0" w:after="50"/>
            </w:pPr>
            <w:r>
              <w:rPr>
                <w:rFonts w:ascii="Arial" w:cs="Arial" w:eastAsia="Arial" w:hAnsi="Arial"/>
                <w:color w:val="CCEEEE"/>
                <w:sz w:val="18"/>
                <w:szCs w:val="18"/>
              </w:rPr>
              <w:t xml:space="preserve">Node 2  ·  AMD Ryzen 5  ·  Ubuntu Server Headless  ·  ASYNCHRONOUS</w:t>
            </w:r>
          </w:p>
          <w:p>
            <w:pPr>
              <w:spacing w:before="0" w:after="0"/>
            </w:pPr>
            <w:r>
              <w:rPr>
                <w:rFonts w:ascii="Arial" w:cs="Arial" w:eastAsia="Arial" w:hAnsi="Arial"/>
                <w:i/>
                <w:iCs/>
                <w:color w:val="FFFFFF"/>
                <w:sz w:val="20"/>
                <w:szCs w:val="20"/>
              </w:rPr>
              <w:t xml:space="preserve">Triage Agent → Strategy Agent → Policy Agent → Learning Agent  |  Phi-4 Mini (4-bit) + ChromaDB RAG</w:t>
            </w:r>
          </w:p>
        </w:tc>
      </w:tr>
      <w:tr>
        <w:tc>
          <w:tcPr>
            <w:tcW w:type="dxa" w:w="9360"/>
            <w:tcBorders>
              <w:top w:val="none" w:color="FFFFFF" w:sz="0"/>
              <w:left w:val="none" w:color="FFFFFF" w:sz="0"/>
              <w:bottom w:val="none" w:color="FFFFFF" w:sz="0"/>
              <w:right w:val="none" w:color="FFFFFF" w:sz="0"/>
            </w:tcBorders>
            <w:shd w:fill="C45E00" w:val="clear"/>
            <w:tcMar>
              <w:top w:type="dxa" w:w="140"/>
              <w:left w:type="dxa" w:w="200"/>
              <w:bottom w:type="dxa" w:w="140"/>
              <w:right w:type="dxa" w:w="200"/>
            </w:tcMar>
          </w:tcPr>
          <w:p>
            <w:pPr>
              <w:spacing w:before="0" w:after="50"/>
            </w:pPr>
            <w:r>
              <w:rPr>
                <w:rFonts w:ascii="Arial" w:cs="Arial" w:eastAsia="Arial" w:hAnsi="Arial"/>
                <w:b/>
                <w:bCs/>
                <w:color w:val="FFFFFF"/>
                <w:sz w:val="22"/>
                <w:szCs w:val="22"/>
              </w:rPr>
              <w:t xml:space="preserve">LAYER 3 — EXECUTION &amp; OVERSIGHT GATEWAY</w:t>
            </w:r>
          </w:p>
          <w:p>
            <w:pPr>
              <w:spacing w:before="0" w:after="50"/>
            </w:pPr>
            <w:r>
              <w:rPr>
                <w:rFonts w:ascii="Arial" w:cs="Arial" w:eastAsia="Arial" w:hAnsi="Arial"/>
                <w:color w:val="FFE0BB"/>
                <w:sz w:val="18"/>
                <w:szCs w:val="18"/>
              </w:rPr>
              <w:t xml:space="preserve">Node 3  ·  Intel Core i5  ·  Ubuntu Desktop  ·  EVENT-DRIVEN</w:t>
            </w:r>
          </w:p>
          <w:p>
            <w:pPr>
              <w:spacing w:before="0" w:after="0"/>
            </w:pPr>
            <w:r>
              <w:rPr>
                <w:rFonts w:ascii="Arial" w:cs="Arial" w:eastAsia="Arial" w:hAnsi="Arial"/>
                <w:i/>
                <w:iCs/>
                <w:color w:val="FFFFFF"/>
                <w:sz w:val="20"/>
                <w:szCs w:val="20"/>
              </w:rPr>
              <w:t xml:space="preserve">Auto-Execution Engine  |  HITL Dashboard (Django)  |  Prometheus + Grafana</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2.2 Layer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2500"/>
        <w:gridCol w:w="1400"/>
        <w:gridCol w:w="1960"/>
      </w:tblGrid>
      <w:tr>
        <w:tc>
          <w:tcPr>
            <w:tcW w:type="dxa" w:w="12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Layer</w:t>
            </w:r>
          </w:p>
        </w:tc>
        <w:tc>
          <w:tcPr>
            <w:tcW w:type="dxa" w:w="23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Name</w:t>
            </w:r>
          </w:p>
        </w:tc>
        <w:tc>
          <w:tcPr>
            <w:tcW w:type="dxa" w:w="25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Node</w:t>
            </w:r>
          </w:p>
        </w:tc>
        <w:tc>
          <w:tcPr>
            <w:tcW w:type="dxa" w:w="14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Mode</w:t>
            </w:r>
          </w:p>
        </w:tc>
        <w:tc>
          <w:tcPr>
            <w:tcW w:type="dxa" w:w="19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Primary Responsibility</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w:t>
            </w:r>
          </w:p>
        </w:tc>
        <w:tc>
          <w:tcPr>
            <w:tcW w:type="dxa" w:w="23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Real-Time Data Plane</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Node 1 — AMD Ryzen 5, Ubuntu Desktop</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Synchronous</w:t>
            </w:r>
          </w:p>
        </w:tc>
        <w:tc>
          <w:tcPr>
            <w:tcW w:type="dxa" w:w="19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Ingestion, feature extraction, anomaly detection (5 types)</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w:t>
            </w:r>
          </w:p>
        </w:tc>
        <w:tc>
          <w:tcPr>
            <w:tcW w:type="dxa" w:w="23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Multi-Agent AI Control Plane</w:t>
            </w:r>
          </w:p>
        </w:tc>
        <w:tc>
          <w:tcPr>
            <w:tcW w:type="dxa" w:w="25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Node 2 — AMD Ryzen 5, Ubuntu Server Headless</w:t>
            </w:r>
          </w:p>
        </w:tc>
        <w:tc>
          <w:tcPr>
            <w:tcW w:type="dxa" w:w="1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Asynchronous</w:t>
            </w:r>
          </w:p>
        </w:tc>
        <w:tc>
          <w:tcPr>
            <w:tcW w:type="dxa" w:w="19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Four agents + ChromaDB RAG + Phi-4 Mini 4-bit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w:t>
            </w:r>
          </w:p>
        </w:tc>
        <w:tc>
          <w:tcPr>
            <w:tcW w:type="dxa" w:w="23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Execution &amp; Oversight Gateway</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Node 3 — Intel Core i5, Ubuntu Desktop</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Event-Driven</w:t>
            </w:r>
          </w:p>
        </w:tc>
        <w:tc>
          <w:tcPr>
            <w:tcW w:type="dxa" w:w="19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Auto-execution, HITL Dashboard, Prometheus + Grafana</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2.3 Node Responsibilities</w:t>
      </w:r>
    </w:p>
    <w:p>
      <w:pPr>
        <w:spacing w:before="180" w:after="80"/>
      </w:pPr>
      <w:r>
        <w:rPr>
          <w:rFonts w:ascii="Arial" w:cs="Arial" w:eastAsia="Arial" w:hAnsi="Arial"/>
          <w:b/>
          <w:bCs/>
          <w:color w:val="1B3A5C"/>
          <w:sz w:val="22"/>
          <w:szCs w:val="22"/>
        </w:rPr>
        <w:t xml:space="preserve">Node 1 — Stream Engine (Layer 1)</w:t>
      </w:r>
    </w:p>
    <w:p>
      <w:pPr>
        <w:spacing w:before="80" w:after="80"/>
        <w:jc w:val="both"/>
      </w:pPr>
      <w:r>
        <w:rPr>
          <w:rFonts w:ascii="Arial" w:cs="Arial" w:eastAsia="Arial" w:hAnsi="Arial"/>
          <w:b w:val="false"/>
          <w:bCs w:val="false"/>
          <w:i w:val="false"/>
          <w:iCs w:val="false"/>
          <w:color w:val="222222"/>
          <w:sz w:val="20"/>
          <w:szCs w:val="20"/>
        </w:rPr>
        <w:t xml:space="preserve">The Synthetic Event Generator (SEG) produces labeled events for all five anomaly types and publishes them to RabbitMQ. The Stream Processor applies Pydantic schema validation and feature extraction in real time. The Anomaly Detection Module (ADM) classifies events in milliseconds using lightweight models fitted on real public datasets. A Dead Letter Exchange (DLX) quarantines malformed or unroutable messages without interrupting the pipeline. Detected anomalies are published asynchronously to the Layer 2 control queue. The pipeline never pauses to wait for LLM inference — the decoupling that Kothamasu identifies as necessary but does not implement.</w:t>
      </w:r>
    </w:p>
    <w:p>
      <w:pPr>
        <w:spacing w:before="40" w:after="40"/>
      </w:pPr>
      <w:r>
        <w:t xml:space="preserve"/>
      </w:r>
    </w:p>
    <w:p>
      <w:pPr>
        <w:spacing w:before="180" w:after="80"/>
      </w:pPr>
      <w:r>
        <w:rPr>
          <w:rFonts w:ascii="Arial" w:cs="Arial" w:eastAsia="Arial" w:hAnsi="Arial"/>
          <w:b/>
          <w:bCs/>
          <w:color w:val="1B3A5C"/>
          <w:sz w:val="22"/>
          <w:szCs w:val="22"/>
        </w:rPr>
        <w:t xml:space="preserve">Node 2 — Multi-Agent AI Brain (Layer 2)</w:t>
      </w:r>
    </w:p>
    <w:p>
      <w:pPr>
        <w:spacing w:before="80" w:after="80"/>
        <w:jc w:val="both"/>
      </w:pPr>
      <w:r>
        <w:rPr>
          <w:rFonts w:ascii="Arial" w:cs="Arial" w:eastAsia="Arial" w:hAnsi="Arial"/>
          <w:b w:val="false"/>
          <w:bCs w:val="false"/>
          <w:i w:val="false"/>
          <w:iCs w:val="false"/>
          <w:color w:val="222222"/>
          <w:sz w:val="20"/>
          <w:szCs w:val="20"/>
        </w:rPr>
        <w:t xml:space="preserve">Dedicated entirely to LLM inference to eliminate resource contention with detection tasks. Hosts the four-agent system running Phi-4 Mini via Ollama with 4-bit quantisation. ChromaDB serves as the evolving vector knowledge base updated after every resolved incident. All agents coordinate exclusively via typed RabbitMQ queues with 30-second timeouts that default to HITL escalation — the governance-bounded design validated by Kirubakaran.</w:t>
      </w:r>
    </w:p>
    <w:p>
      <w:pPr>
        <w:spacing w:before="40" w:after="40"/>
      </w:pPr>
      <w:r>
        <w:t xml:space="preserve"/>
      </w:r>
    </w:p>
    <w:p>
      <w:pPr>
        <w:spacing w:before="180" w:after="80"/>
      </w:pPr>
      <w:r>
        <w:rPr>
          <w:rFonts w:ascii="Arial" w:cs="Arial" w:eastAsia="Arial" w:hAnsi="Arial"/>
          <w:b/>
          <w:bCs/>
          <w:color w:val="1B3A5C"/>
          <w:sz w:val="22"/>
          <w:szCs w:val="22"/>
        </w:rPr>
        <w:t xml:space="preserve">Node 3 — Execution &amp; Oversight Gateway (Layer 3)</w:t>
      </w:r>
    </w:p>
    <w:p>
      <w:pPr>
        <w:pStyle w:val="ListParagraph"/>
        <w:numPr>
          <w:ilvl w:val="0"/>
          <w:numId w:val="2"/>
        </w:numPr>
        <w:spacing w:before="60" w:after="60"/>
      </w:pPr>
      <w:r>
        <w:rPr>
          <w:rFonts w:ascii="Arial" w:cs="Arial" w:eastAsia="Arial" w:hAnsi="Arial"/>
          <w:color w:val="222222"/>
          <w:sz w:val="20"/>
          <w:szCs w:val="20"/>
        </w:rPr>
        <w:t xml:space="preserve">Auto-Execution Engine receives low-risk dispatch decisions from the Policy Agent and fires remediation actions. Each action is logged with timestamp, anomaly ID, and outcome for benchmark reporting.</w:t>
      </w:r>
    </w:p>
    <w:p>
      <w:pPr>
        <w:pStyle w:val="ListParagraph"/>
        <w:numPr>
          <w:ilvl w:val="0"/>
          <w:numId w:val="2"/>
        </w:numPr>
        <w:spacing w:before="60" w:after="60"/>
      </w:pPr>
      <w:r>
        <w:rPr>
          <w:rFonts w:ascii="Arial" w:cs="Arial" w:eastAsia="Arial" w:hAnsi="Arial"/>
          <w:color w:val="222222"/>
          <w:sz w:val="20"/>
          <w:szCs w:val="20"/>
        </w:rPr>
        <w:t xml:space="preserve">Human-in-the-Loop Gateway is a Django dashboard for high-risk action review. Operators see the full AI reasoning chain — triage report, strategy ranking, confidence scores — before approving or rejecting. Rejected decisions propagate to the Learning Agent as negative examples.</w:t>
      </w:r>
    </w:p>
    <w:p>
      <w:pPr>
        <w:pStyle w:val="ListParagraph"/>
        <w:numPr>
          <w:ilvl w:val="0"/>
          <w:numId w:val="2"/>
        </w:numPr>
        <w:spacing w:before="60" w:after="60"/>
      </w:pPr>
      <w:r>
        <w:rPr>
          <w:rFonts w:ascii="Arial" w:cs="Arial" w:eastAsia="Arial" w:hAnsi="Arial"/>
          <w:color w:val="222222"/>
          <w:sz w:val="20"/>
          <w:szCs w:val="20"/>
        </w:rPr>
        <w:t xml:space="preserve">Cluster Observability Stack: Prometheus collects real-time metrics from all three nodes; Grafana visualises them. This telemetry produces the benchmark figures in the paper.</w:t>
      </w:r>
    </w:p>
    <w:p>
      <w:pPr>
        <w:pStyle w:val="ListParagraph"/>
        <w:numPr>
          <w:ilvl w:val="0"/>
          <w:numId w:val="2"/>
        </w:numPr>
        <w:spacing w:before="60" w:after="60"/>
      </w:pPr>
      <w:r>
        <w:rPr>
          <w:rFonts w:ascii="Arial" w:cs="Arial" w:eastAsia="Arial" w:hAnsi="Arial"/>
          <w:color w:val="222222"/>
          <w:sz w:val="20"/>
          <w:szCs w:val="20"/>
        </w:rPr>
        <w:t xml:space="preserve">All inter-node communication runs on dedicated Gigabit Ethernet (0.3–1 ms per hop). WiFi is used only during early development phases.</w:t>
      </w:r>
    </w:p>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3. Multi-Agent System Design (Layer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8"/>
              <w:bottom w:val="single" w:color="1A7A8A" w:sz="1"/>
              <w:right w:val="single" w:color="1A7A8A" w:sz="1"/>
            </w:tcBorders>
            <w:shd w:fill="EAF4F6" w:val="clear"/>
            <w:tcMar>
              <w:top w:type="dxa" w:w="130"/>
              <w:left w:type="dxa" w:w="200"/>
              <w:bottom w:type="dxa" w:w="130"/>
              <w:right w:type="dxa" w:w="160"/>
            </w:tcMar>
          </w:tcPr>
          <w:p>
            <w:pPr>
              <w:spacing w:before="0" w:after="80"/>
            </w:pPr>
            <w:r>
              <w:rPr>
                <w:rFonts w:ascii="Arial" w:cs="Arial" w:eastAsia="Arial" w:hAnsi="Arial"/>
                <w:b/>
                <w:bCs/>
                <w:color w:val="1A7A8A"/>
                <w:sz w:val="21"/>
                <w:szCs w:val="21"/>
              </w:rPr>
              <w:t xml:space="preserve">Core Research Question</w:t>
            </w:r>
          </w:p>
          <w:p>
            <w:pPr>
              <w:spacing w:before="80" w:after="80"/>
              <w:jc w:val="both"/>
            </w:pPr>
            <w:r>
              <w:rPr>
                <w:rFonts w:ascii="Arial" w:cs="Arial" w:eastAsia="Arial" w:hAnsi="Arial"/>
                <w:b w:val="false"/>
                <w:bCs w:val="false"/>
                <w:i w:val="false"/>
                <w:iCs w:val="false"/>
                <w:color w:val="222222"/>
                <w:sz w:val="20"/>
                <w:szCs w:val="20"/>
              </w:rPr>
              <w:t xml:space="preserve">Does explicit multi-agent decomposition (Triage → Strategy → Policy → Learning) outperform a single monolithic agent receiving the same anomaly signal? Kirubakaran et al. identify this as future work. This project answers it empirically with real hardware numbers: end-to-end latency, per-agent latency, strategy quality (Cohen's Kappa), risk classification accuracy, and coordination overhead — all measured on the same 30-incident evaluation set on the real Ethernet cluster.</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3.1 Triage Agent</w:t>
      </w:r>
    </w:p>
    <w:p>
      <w:pPr>
        <w:pStyle w:val="ListParagraph"/>
        <w:numPr>
          <w:ilvl w:val="0"/>
          <w:numId w:val="2"/>
        </w:numPr>
        <w:spacing w:before="60" w:after="60"/>
      </w:pPr>
      <w:r>
        <w:rPr>
          <w:rFonts w:ascii="Arial" w:cs="Arial" w:eastAsia="Arial" w:hAnsi="Arial"/>
          <w:color w:val="222222"/>
          <w:sz w:val="20"/>
          <w:szCs w:val="20"/>
        </w:rPr>
        <w:t xml:space="preserve">Role: Incident classification, severity assessment, and historical context retrieval from ChromaDB.</w:t>
      </w:r>
    </w:p>
    <w:p>
      <w:pPr>
        <w:pStyle w:val="ListParagraph"/>
        <w:numPr>
          <w:ilvl w:val="0"/>
          <w:numId w:val="2"/>
        </w:numPr>
        <w:spacing w:before="60" w:after="60"/>
      </w:pPr>
      <w:r>
        <w:rPr>
          <w:rFonts w:ascii="Arial" w:cs="Arial" w:eastAsia="Arial" w:hAnsi="Arial"/>
          <w:color w:val="222222"/>
          <w:sz w:val="20"/>
          <w:szCs w:val="20"/>
        </w:rPr>
        <w:t xml:space="preserve">Input: Structured anomaly signal from Layer 1 ADM via the anomaly.detected RabbitMQ queue.</w:t>
      </w:r>
    </w:p>
    <w:p>
      <w:pPr>
        <w:pStyle w:val="ListParagraph"/>
        <w:numPr>
          <w:ilvl w:val="0"/>
          <w:numId w:val="2"/>
        </w:numPr>
        <w:spacing w:before="60" w:after="60"/>
      </w:pPr>
      <w:r>
        <w:rPr>
          <w:rFonts w:ascii="Arial" w:cs="Arial" w:eastAsia="Arial" w:hAnsi="Arial"/>
          <w:color w:val="222222"/>
          <w:sz w:val="20"/>
          <w:szCs w:val="20"/>
        </w:rPr>
        <w:t xml:space="preserve">Processing: Queries ChromaDB via RAG for the N most similar historical incidents. Constructs a structured triage report — anomaly type, severity tier, affected component, similar past incidents with outcomes, recommended escalation path.</w:t>
      </w:r>
    </w:p>
    <w:p>
      <w:pPr>
        <w:pStyle w:val="ListParagraph"/>
        <w:numPr>
          <w:ilvl w:val="0"/>
          <w:numId w:val="2"/>
        </w:numPr>
        <w:spacing w:before="60" w:after="60"/>
      </w:pPr>
      <w:r>
        <w:rPr>
          <w:rFonts w:ascii="Arial" w:cs="Arial" w:eastAsia="Arial" w:hAnsi="Arial"/>
          <w:color w:val="222222"/>
          <w:sz w:val="20"/>
          <w:szCs w:val="20"/>
        </w:rPr>
        <w:t xml:space="preserve">Output: Structured JSON triage report published to the Strategy Agent via the triage.complete queue.</w:t>
      </w:r>
    </w:p>
    <w:p>
      <w:pPr>
        <w:pStyle w:val="ListParagraph"/>
        <w:numPr>
          <w:ilvl w:val="0"/>
          <w:numId w:val="2"/>
        </w:numPr>
        <w:spacing w:before="60" w:after="60"/>
      </w:pPr>
      <w:r>
        <w:rPr>
          <w:rFonts w:ascii="Arial" w:cs="Arial" w:eastAsia="Arial" w:hAnsi="Arial"/>
          <w:color w:val="222222"/>
          <w:sz w:val="20"/>
          <w:szCs w:val="20"/>
        </w:rPr>
        <w:t xml:space="preserve">Research value: RAG retrieval latency measured independently from LLM reasoning latency. Triage accuracy evaluated against ground truth labels across all 1,950 events and the 30-incident curated evaluation set.</w:t>
      </w:r>
    </w:p>
    <w:p>
      <w:pPr>
        <w:spacing w:before="80" w:after="80"/>
      </w:pPr>
      <w:r>
        <w:t xml:space="preserve"/>
      </w:r>
    </w:p>
    <w:p>
      <w:pPr>
        <w:pStyle w:val="Heading2"/>
        <w:spacing w:before="240" w:after="110"/>
      </w:pPr>
      <w:r>
        <w:rPr>
          <w:rFonts w:ascii="Arial" w:cs="Arial" w:eastAsia="Arial" w:hAnsi="Arial"/>
          <w:b/>
          <w:bCs/>
          <w:color w:val="1A7A8A"/>
          <w:sz w:val="26"/>
          <w:szCs w:val="26"/>
        </w:rPr>
        <w:t xml:space="preserve">3.2 Strategy Agent</w:t>
      </w:r>
    </w:p>
    <w:p>
      <w:pPr>
        <w:pStyle w:val="ListParagraph"/>
        <w:numPr>
          <w:ilvl w:val="0"/>
          <w:numId w:val="2"/>
        </w:numPr>
        <w:spacing w:before="60" w:after="60"/>
      </w:pPr>
      <w:r>
        <w:rPr>
          <w:rFonts w:ascii="Arial" w:cs="Arial" w:eastAsia="Arial" w:hAnsi="Arial"/>
          <w:color w:val="222222"/>
          <w:sz w:val="20"/>
          <w:szCs w:val="20"/>
        </w:rPr>
        <w:t xml:space="preserve">Role: Remediation strategy generation via LLM reasoning over triage context.</w:t>
      </w:r>
    </w:p>
    <w:p>
      <w:pPr>
        <w:pStyle w:val="ListParagraph"/>
        <w:numPr>
          <w:ilvl w:val="0"/>
          <w:numId w:val="2"/>
        </w:numPr>
        <w:spacing w:before="60" w:after="60"/>
      </w:pPr>
      <w:r>
        <w:rPr>
          <w:rFonts w:ascii="Arial" w:cs="Arial" w:eastAsia="Arial" w:hAnsi="Arial"/>
          <w:color w:val="222222"/>
          <w:sz w:val="20"/>
          <w:szCs w:val="20"/>
        </w:rPr>
        <w:t xml:space="preserve">Input: Structured triage report from the Triage Agent.</w:t>
      </w:r>
    </w:p>
    <w:p>
      <w:pPr>
        <w:pStyle w:val="ListParagraph"/>
        <w:numPr>
          <w:ilvl w:val="0"/>
          <w:numId w:val="2"/>
        </w:numPr>
        <w:spacing w:before="60" w:after="60"/>
      </w:pPr>
      <w:r>
        <w:rPr>
          <w:rFonts w:ascii="Arial" w:cs="Arial" w:eastAsia="Arial" w:hAnsi="Arial"/>
          <w:color w:val="222222"/>
          <w:sz w:val="20"/>
          <w:szCs w:val="20"/>
        </w:rPr>
        <w:t xml:space="preserve">Processing: Phi-4 Mini reasons over triage context and retrieved historical resolutions. Prompt structure enforces JSON output with ranked remediation actions, expected outcomes, and confidence scores.</w:t>
      </w:r>
    </w:p>
    <w:p>
      <w:pPr>
        <w:pStyle w:val="ListParagraph"/>
        <w:numPr>
          <w:ilvl w:val="0"/>
          <w:numId w:val="2"/>
        </w:numPr>
        <w:spacing w:before="60" w:after="60"/>
      </w:pPr>
      <w:r>
        <w:rPr>
          <w:rFonts w:ascii="Arial" w:cs="Arial" w:eastAsia="Arial" w:hAnsi="Arial"/>
          <w:color w:val="222222"/>
          <w:sz w:val="20"/>
          <w:szCs w:val="20"/>
        </w:rPr>
        <w:t xml:space="preserve">Output: Ranked remediation strategy with confidence scores published to the Policy Agent via the strategy.ready queue.</w:t>
      </w:r>
    </w:p>
    <w:p>
      <w:pPr>
        <w:pStyle w:val="ListParagraph"/>
        <w:numPr>
          <w:ilvl w:val="0"/>
          <w:numId w:val="2"/>
        </w:numPr>
        <w:spacing w:before="60" w:after="60"/>
      </w:pPr>
      <w:r>
        <w:rPr>
          <w:rFonts w:ascii="Arial" w:cs="Arial" w:eastAsia="Arial" w:hAnsi="Arial"/>
          <w:color w:val="222222"/>
          <w:sz w:val="20"/>
          <w:szCs w:val="20"/>
        </w:rPr>
        <w:t xml:space="preserve">Research value: Strategy quality evaluated using Cohen's Kappa inter-rater agreement on 30 curated incident prompts. Both students score responses independently using a shared rubric.</w:t>
      </w:r>
    </w:p>
    <w:p>
      <w:pPr>
        <w:spacing w:before="80" w:after="80"/>
      </w:pPr>
      <w:r>
        <w:t xml:space="preserve"/>
      </w:r>
    </w:p>
    <w:p>
      <w:pPr>
        <w:pStyle w:val="Heading2"/>
        <w:spacing w:before="240" w:after="110"/>
      </w:pPr>
      <w:r>
        <w:rPr>
          <w:rFonts w:ascii="Arial" w:cs="Arial" w:eastAsia="Arial" w:hAnsi="Arial"/>
          <w:b/>
          <w:bCs/>
          <w:color w:val="1A7A8A"/>
          <w:sz w:val="26"/>
          <w:szCs w:val="26"/>
        </w:rPr>
        <w:t xml:space="preserve">3.3 Policy Agent</w:t>
      </w:r>
    </w:p>
    <w:p>
      <w:pPr>
        <w:pStyle w:val="ListParagraph"/>
        <w:numPr>
          <w:ilvl w:val="0"/>
          <w:numId w:val="2"/>
        </w:numPr>
        <w:spacing w:before="60" w:after="60"/>
      </w:pPr>
      <w:r>
        <w:rPr>
          <w:rFonts w:ascii="Arial" w:cs="Arial" w:eastAsia="Arial" w:hAnsi="Arial"/>
          <w:color w:val="222222"/>
          <w:sz w:val="20"/>
          <w:szCs w:val="20"/>
        </w:rPr>
        <w:t xml:space="preserve">Role: Risk tier classification, routing decision, and dispatch to Layer 3.</w:t>
      </w:r>
    </w:p>
    <w:p>
      <w:pPr>
        <w:pStyle w:val="ListParagraph"/>
        <w:numPr>
          <w:ilvl w:val="0"/>
          <w:numId w:val="2"/>
        </w:numPr>
        <w:spacing w:before="60" w:after="60"/>
      </w:pPr>
      <w:r>
        <w:rPr>
          <w:rFonts w:ascii="Arial" w:cs="Arial" w:eastAsia="Arial" w:hAnsi="Arial"/>
          <w:color w:val="222222"/>
          <w:sz w:val="20"/>
          <w:szCs w:val="20"/>
        </w:rPr>
        <w:t xml:space="preserve">Input: Ranked strategy with confidence scores from the Strategy Agent.</w:t>
      </w:r>
    </w:p>
    <w:p>
      <w:pPr>
        <w:pStyle w:val="ListParagraph"/>
        <w:numPr>
          <w:ilvl w:val="0"/>
          <w:numId w:val="2"/>
        </w:numPr>
        <w:spacing w:before="60" w:after="60"/>
      </w:pPr>
      <w:r>
        <w:rPr>
          <w:rFonts w:ascii="Arial" w:cs="Arial" w:eastAsia="Arial" w:hAnsi="Arial"/>
          <w:color w:val="222222"/>
          <w:sz w:val="20"/>
          <w:szCs w:val="20"/>
        </w:rPr>
        <w:t xml:space="preserve">Processing: Applies the risk tier classification policy. Low-risk idempotent actions dispatched directly to the Auto-Execution Engine. High-risk or low-confidence strategies escalated to the HITL Gateway. Any timeout, agent failure, or confidence below threshold defaults unconditionally to HITL — the system never silently drops an unresolved incident.</w:t>
      </w:r>
    </w:p>
    <w:p>
      <w:pPr>
        <w:pStyle w:val="ListParagraph"/>
        <w:numPr>
          <w:ilvl w:val="0"/>
          <w:numId w:val="2"/>
        </w:numPr>
        <w:spacing w:before="60" w:after="60"/>
      </w:pPr>
      <w:r>
        <w:rPr>
          <w:rFonts w:ascii="Arial" w:cs="Arial" w:eastAsia="Arial" w:hAnsi="Arial"/>
          <w:color w:val="222222"/>
          <w:sz w:val="20"/>
          <w:szCs w:val="20"/>
        </w:rPr>
        <w:t xml:space="preserve">Output: Dispatch instruction to Layer 3 via execute.low or hitl.high queue.</w:t>
      </w:r>
    </w:p>
    <w:p>
      <w:pPr>
        <w:pStyle w:val="ListParagraph"/>
        <w:numPr>
          <w:ilvl w:val="0"/>
          <w:numId w:val="2"/>
        </w:numPr>
        <w:spacing w:before="60" w:after="60"/>
      </w:pPr>
      <w:r>
        <w:rPr>
          <w:rFonts w:ascii="Arial" w:cs="Arial" w:eastAsia="Arial" w:hAnsi="Arial"/>
          <w:color w:val="222222"/>
          <w:sz w:val="20"/>
          <w:szCs w:val="20"/>
        </w:rPr>
        <w:t xml:space="preserve">Research value: False escalation rate (low-risk wrongly sent to HITL) and false automation rate (high-risk wrongly auto-executed) measured across 30 Policy Agent decisions. Direct comparison with single-agent baseline.</w:t>
      </w:r>
    </w:p>
    <w:p>
      <w:pPr>
        <w:spacing w:before="80" w:after="80"/>
      </w:pPr>
      <w:r>
        <w:t xml:space="preserve"/>
      </w:r>
    </w:p>
    <w:p>
      <w:pPr>
        <w:pStyle w:val="Heading2"/>
        <w:spacing w:before="240" w:after="110"/>
      </w:pPr>
      <w:r>
        <w:rPr>
          <w:rFonts w:ascii="Arial" w:cs="Arial" w:eastAsia="Arial" w:hAnsi="Arial"/>
          <w:b/>
          <w:bCs/>
          <w:color w:val="1A7A8A"/>
          <w:sz w:val="26"/>
          <w:szCs w:val="26"/>
        </w:rPr>
        <w:t xml:space="preserve">3.4 Learning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1"/>
              <w:left w:val="single" w:color="1D6F42" w:sz="18"/>
              <w:bottom w:val="single" w:color="1D6F42" w:sz="1"/>
              <w:right w:val="single" w:color="1D6F42" w:sz="1"/>
            </w:tcBorders>
            <w:shd w:fill="EAF5EE" w:val="clear"/>
            <w:tcMar>
              <w:top w:type="dxa" w:w="130"/>
              <w:left w:type="dxa" w:w="200"/>
              <w:bottom w:type="dxa" w:w="130"/>
              <w:right w:type="dxa" w:w="160"/>
            </w:tcMar>
          </w:tcPr>
          <w:p>
            <w:pPr>
              <w:spacing w:before="0" w:after="80"/>
            </w:pPr>
            <w:r>
              <w:rPr>
                <w:rFonts w:ascii="Arial" w:cs="Arial" w:eastAsia="Arial" w:hAnsi="Arial"/>
                <w:b/>
                <w:bCs/>
                <w:color w:val="1D6F42"/>
                <w:sz w:val="21"/>
                <w:szCs w:val="21"/>
              </w:rPr>
              <w:t xml:space="preserve">Learning Agent — Design and Scope</w:t>
            </w:r>
          </w:p>
          <w:p>
            <w:pPr>
              <w:spacing w:before="80" w:after="80"/>
              <w:jc w:val="both"/>
            </w:pPr>
            <w:r>
              <w:rPr>
                <w:rFonts w:ascii="Arial" w:cs="Arial" w:eastAsia="Arial" w:hAnsi="Arial"/>
                <w:b w:val="false"/>
                <w:bCs w:val="false"/>
                <w:i w:val="false"/>
                <w:iCs w:val="false"/>
                <w:color w:val="222222"/>
                <w:sz w:val="20"/>
                <w:szCs w:val="20"/>
              </w:rPr>
              <w:t xml:space="preserve">Role: Lightweight per-incident feedback mechanism that converts ChromaDB from a static RAG store into an evolving knowledge base. Operationalises the knowledge accumulation concept described but not implemented by Chakraborty and Kothamasu. Directly answers the policy learning future work direction identified by Kirubakaran.</w:t>
            </w:r>
          </w:p>
          <w:p>
            <w:pPr>
              <w:spacing w:before="40" w:after="40"/>
            </w:pPr>
            <w:r>
              <w:t xml:space="preserve"/>
            </w:r>
          </w:p>
          <w:p>
            <w:pPr>
              <w:pStyle w:val="ListParagraph"/>
              <w:numPr>
                <w:ilvl w:val="0"/>
                <w:numId w:val="2"/>
              </w:numPr>
              <w:spacing w:before="60" w:after="60"/>
            </w:pPr>
            <w:r>
              <w:rPr>
                <w:rFonts w:ascii="Arial" w:cs="Arial" w:eastAsia="Arial" w:hAnsi="Arial"/>
                <w:color w:val="222222"/>
                <w:sz w:val="20"/>
                <w:szCs w:val="20"/>
              </w:rPr>
              <w:t xml:space="preserve">Trigger: Fires once per resolved incident after the Auto-Execution Engine logs a successful action OR after an operator approves or rejects a HITL decision. Fires after dispatch — adds zero latency to the remediation loop.</w:t>
            </w:r>
          </w:p>
          <w:p>
            <w:pPr>
              <w:pStyle w:val="ListParagraph"/>
              <w:numPr>
                <w:ilvl w:val="0"/>
                <w:numId w:val="2"/>
              </w:numPr>
              <w:spacing w:before="60" w:after="60"/>
            </w:pPr>
            <w:r>
              <w:rPr>
                <w:rFonts w:ascii="Arial" w:cs="Arial" w:eastAsia="Arial" w:hAnsi="Arial"/>
                <w:color w:val="222222"/>
                <w:sz w:val="20"/>
                <w:szCs w:val="20"/>
              </w:rPr>
              <w:t xml:space="preserve">Processing: Upserts the incident-resolution pair into ChromaDB. Tags rejected or failed strategies as negative examples (deprioritised in future RAG retrieval). Recalibrates per-anomaly confidence thresholds via exponential moving average. No separate LLM call required for this step.</w:t>
            </w:r>
          </w:p>
          <w:p>
            <w:pPr>
              <w:pStyle w:val="ListParagraph"/>
              <w:numPr>
                <w:ilvl w:val="0"/>
                <w:numId w:val="2"/>
              </w:numPr>
              <w:spacing w:before="60" w:after="60"/>
            </w:pPr>
            <w:r>
              <w:rPr>
                <w:rFonts w:ascii="Arial" w:cs="Arial" w:eastAsia="Arial" w:hAnsi="Arial"/>
                <w:color w:val="222222"/>
                <w:sz w:val="20"/>
                <w:szCs w:val="20"/>
              </w:rPr>
              <w:t xml:space="preserve">Research value: Measured as a secondary metric — ChromaDB size growth over the evaluation run and Triage recall improvement comparing early vs late evaluation windows. Not a standalone research claim; a lightweight architectural component that strengthens long-term system correctness.</w:t>
            </w:r>
          </w:p>
          <w:p>
            <w:pPr>
              <w:pStyle w:val="ListParagraph"/>
              <w:numPr>
                <w:ilvl w:val="0"/>
                <w:numId w:val="2"/>
              </w:numPr>
              <w:spacing w:before="60" w:after="60"/>
            </w:pPr>
            <w:r>
              <w:rPr>
                <w:rFonts w:ascii="Arial" w:cs="Arial" w:eastAsia="Arial" w:hAnsi="Arial"/>
                <w:color w:val="222222"/>
                <w:sz w:val="20"/>
                <w:szCs w:val="20"/>
              </w:rPr>
              <w:t xml:space="preserve">Fallback: If ChromaDB write overhead becomes measurable, switch to post-evaluation-run batch processing with no architectural change.</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3.5 Agent Coordination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Agent</w:t>
            </w:r>
          </w:p>
        </w:tc>
        <w:tc>
          <w:tcPr>
            <w:tcW w:type="dxa" w:w="25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Consumes From</w:t>
            </w:r>
          </w:p>
        </w:tc>
        <w:tc>
          <w:tcPr>
            <w:tcW w:type="dxa" w:w="25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Publishes To</w:t>
            </w:r>
          </w:p>
        </w:tc>
        <w:tc>
          <w:tcPr>
            <w:tcW w:type="dxa" w:w="21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Timeout Behaviour</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Triage Agent</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anomaly.detected</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triage.complete</w:t>
            </w:r>
          </w:p>
        </w:tc>
        <w:tc>
          <w:tcPr>
            <w:tcW w:type="dxa" w:w="21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30s → escalate to HITL</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Strategy Agent</w:t>
            </w:r>
          </w:p>
        </w:tc>
        <w:tc>
          <w:tcPr>
            <w:tcW w:type="dxa" w:w="25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triage.complete</w:t>
            </w:r>
          </w:p>
        </w:tc>
        <w:tc>
          <w:tcPr>
            <w:tcW w:type="dxa" w:w="25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strategy.ready</w:t>
            </w:r>
          </w:p>
        </w:tc>
        <w:tc>
          <w:tcPr>
            <w:tcW w:type="dxa" w:w="21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30s → escalate to HITL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Policy Agent</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strategy.ready</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execute.low / hitl.high</w:t>
            </w:r>
          </w:p>
        </w:tc>
        <w:tc>
          <w:tcPr>
            <w:tcW w:type="dxa" w:w="21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Any failure → HITL</w:t>
            </w:r>
          </w:p>
        </w:tc>
      </w:tr>
      <w:tr>
        <w:tc>
          <w:tcPr>
            <w:tcW w:type="dxa" w:w="22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Learning Agent</w:t>
            </w:r>
          </w:p>
        </w:tc>
        <w:tc>
          <w:tcPr>
            <w:tcW w:type="dxa" w:w="25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incident.resolved</w:t>
            </w:r>
          </w:p>
        </w:tc>
        <w:tc>
          <w:tcPr>
            <w:tcW w:type="dxa" w:w="25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ChromaDB upsert + threshold log</w:t>
            </w:r>
          </w:p>
        </w:tc>
        <w:tc>
          <w:tcPr>
            <w:tcW w:type="dxa" w:w="216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Failure logged; ChromaDB unchanged</w:t>
            </w:r>
          </w:p>
        </w:tc>
      </w:tr>
    </w:tbl>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4. Anomaly Types &amp; Detection Stack (Layer 1)</w:t>
      </w:r>
    </w:p>
    <w:p>
      <w:pPr>
        <w:spacing w:before="80" w:after="80"/>
        <w:jc w:val="both"/>
      </w:pPr>
      <w:r>
        <w:rPr>
          <w:rFonts w:ascii="Arial" w:cs="Arial" w:eastAsia="Arial" w:hAnsi="Arial"/>
          <w:b w:val="false"/>
          <w:bCs w:val="false"/>
          <w:i w:val="false"/>
          <w:iCs w:val="false"/>
          <w:color w:val="222222"/>
          <w:sz w:val="20"/>
          <w:szCs w:val="20"/>
        </w:rPr>
        <w:t xml:space="preserve">Five anomaly types are detected across resource, application, security, and schema failure categories. All detection models are trained or fitted on real public datasets — no synthetic baselines, no pre-trained weights reused without domain adaptation. Network Latency Drift was evaluated for inclusion and permanently removed: the LSTM Autoencoder training requirement introduced disproportionate Phase 1 risk relative to its contribution. Auth Failure Flood is restored using the established KDD99-trained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600"/>
        <w:gridCol w:w="2700"/>
        <w:gridCol w:w="2500"/>
      </w:tblGrid>
      <w:tr>
        <w:tc>
          <w:tcPr>
            <w:tcW w:type="dxa" w:w="3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w:t>
            </w:r>
          </w:p>
        </w:tc>
        <w:tc>
          <w:tcPr>
            <w:tcW w:type="dxa" w:w="22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Anomaly Type</w:t>
            </w:r>
          </w:p>
        </w:tc>
        <w:tc>
          <w:tcPr>
            <w:tcW w:type="dxa" w:w="16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Detection Layer</w:t>
            </w:r>
          </w:p>
        </w:tc>
        <w:tc>
          <w:tcPr>
            <w:tcW w:type="dxa" w:w="27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Model (fitted on real public datasets)</w:t>
            </w:r>
          </w:p>
        </w:tc>
        <w:tc>
          <w:tcPr>
            <w:tcW w:type="dxa" w:w="25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Avg. Manual Diagnosis</w:t>
            </w:r>
          </w:p>
        </w:tc>
      </w:tr>
      <w:tr>
        <w:tc>
          <w:tcPr>
            <w:tcW w:type="dxa" w:w="3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CPU / Memory Spike</w:t>
            </w:r>
          </w:p>
        </w:tc>
        <w:tc>
          <w:tcPr>
            <w:tcW w:type="dxa" w:w="16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ADM</w:t>
            </w:r>
          </w:p>
        </w:tc>
        <w:tc>
          <w:tcPr>
            <w:tcW w:type="dxa" w:w="27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Isolation Forest — NAB + Yahoo S5</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30–90 min</w:t>
            </w:r>
          </w:p>
        </w:tc>
      </w:tr>
      <w:tr>
        <w:tc>
          <w:tcPr>
            <w:tcW w:type="dxa" w:w="3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w:t>
            </w:r>
          </w:p>
        </w:tc>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Error Rate Surge (5xx)</w:t>
            </w:r>
          </w:p>
        </w:tc>
        <w:tc>
          <w:tcPr>
            <w:tcW w:type="dxa" w:w="16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ADM</w:t>
            </w:r>
          </w:p>
        </w:tc>
        <w:tc>
          <w:tcPr>
            <w:tcW w:type="dxa" w:w="27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Drain3 + Isolation Forest — Loghub</w:t>
            </w:r>
          </w:p>
        </w:tc>
        <w:tc>
          <w:tcPr>
            <w:tcW w:type="dxa" w:w="25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30–60 min</w:t>
            </w:r>
          </w:p>
        </w:tc>
      </w:tr>
      <w:tr>
        <w:tc>
          <w:tcPr>
            <w:tcW w:type="dxa" w:w="3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Throughput Drop / Silent Crash</w:t>
            </w:r>
          </w:p>
        </w:tc>
        <w:tc>
          <w:tcPr>
            <w:tcW w:type="dxa" w:w="16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ADM</w:t>
            </w:r>
          </w:p>
        </w:tc>
        <w:tc>
          <w:tcPr>
            <w:tcW w:type="dxa" w:w="27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Isolation Forest — NAB + Yahoo S5</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45–90 min</w:t>
            </w:r>
          </w:p>
        </w:tc>
      </w:tr>
      <w:tr>
        <w:tc>
          <w:tcPr>
            <w:tcW w:type="dxa" w:w="3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w:t>
            </w:r>
          </w:p>
        </w:tc>
        <w:tc>
          <w:tcPr>
            <w:tcW w:type="dxa" w:w="2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Auth Failure Flood</w:t>
            </w:r>
          </w:p>
        </w:tc>
        <w:tc>
          <w:tcPr>
            <w:tcW w:type="dxa" w:w="16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ADM</w:t>
            </w:r>
          </w:p>
        </w:tc>
        <w:tc>
          <w:tcPr>
            <w:tcW w:type="dxa" w:w="27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KDD99 Trained Model</w:t>
            </w:r>
          </w:p>
        </w:tc>
        <w:tc>
          <w:tcPr>
            <w:tcW w:type="dxa" w:w="25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60–120 min</w:t>
            </w:r>
          </w:p>
        </w:tc>
      </w:tr>
      <w:tr>
        <w:tc>
          <w:tcPr>
            <w:tcW w:type="dxa" w:w="3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Schema Change / Data Drift</w:t>
            </w:r>
          </w:p>
        </w:tc>
        <w:tc>
          <w:tcPr>
            <w:tcW w:type="dxa" w:w="16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Stream Processor</w:t>
            </w:r>
          </w:p>
        </w:tc>
        <w:tc>
          <w:tcPr>
            <w:tcW w:type="dxa" w:w="27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Pydantic + statistical rules — synthetic + Loghub</w:t>
            </w:r>
          </w:p>
        </w:tc>
        <w:tc>
          <w:tcPr>
            <w:tcW w:type="dxa" w:w="25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120–240 min</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4.1 Synthetic Evaluation Dataset (1,950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Category</w:t>
            </w:r>
          </w:p>
        </w:tc>
        <w:tc>
          <w:tcPr>
            <w:tcW w:type="dxa" w:w="1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Count</w:t>
            </w:r>
          </w:p>
        </w:tc>
        <w:tc>
          <w:tcPr>
            <w:tcW w:type="dxa" w:w="37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Notes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Normal events</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1,000</w:t>
            </w:r>
          </w:p>
        </w:tc>
        <w:tc>
          <w:tcPr>
            <w:tcW w:type="dxa" w:w="37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Baseline healthy traffic</w:t>
            </w:r>
          </w:p>
        </w:tc>
      </w:tr>
      <w:tr>
        <w:tc>
          <w:tcPr>
            <w:tcW w:type="dxa" w:w="3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CPU / Memory Spike</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200</w:t>
            </w:r>
          </w:p>
        </w:tc>
        <w:tc>
          <w:tcPr>
            <w:tcW w:type="dxa" w:w="37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Sudden resource spike events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Error Rate Surge (5xx)</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200</w:t>
            </w:r>
          </w:p>
        </w:tc>
        <w:tc>
          <w:tcPr>
            <w:tcW w:type="dxa" w:w="37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Escalating 5xx error window events</w:t>
            </w:r>
          </w:p>
        </w:tc>
      </w:tr>
      <w:tr>
        <w:tc>
          <w:tcPr>
            <w:tcW w:type="dxa" w:w="3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Throughput Drop / Silent Crash</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200</w:t>
            </w:r>
          </w:p>
        </w:tc>
        <w:tc>
          <w:tcPr>
            <w:tcW w:type="dxa" w:w="37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Near-zero throughput events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Auth Failure Flood</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200</w:t>
            </w:r>
          </w:p>
        </w:tc>
        <w:tc>
          <w:tcPr>
            <w:tcW w:type="dxa" w:w="37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High-frequency failed authentication events</w:t>
            </w:r>
          </w:p>
        </w:tc>
      </w:tr>
      <w:tr>
        <w:tc>
          <w:tcPr>
            <w:tcW w:type="dxa" w:w="3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Schema Change — 3 sub-types</w:t>
            </w:r>
          </w:p>
        </w:tc>
        <w:tc>
          <w:tcPr>
            <w:tcW w:type="dxa" w:w="1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150</w:t>
            </w:r>
          </w:p>
        </w:tc>
        <w:tc>
          <w:tcPr>
            <w:tcW w:type="dxa" w:w="37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50 missing fields, 50 type mutations, 50 value shifts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TOTAL</w:t>
            </w:r>
          </w:p>
        </w:tc>
        <w:tc>
          <w:tcPr>
            <w:tcW w:type="dxa" w:w="1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1,950</w:t>
            </w:r>
          </w:p>
        </w:tc>
        <w:tc>
          <w:tcPr>
            <w:tcW w:type="dxa" w:w="37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Fully labeled — ground truth for all evaluation metrics</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4.2 Real-Stream Replay Experiment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8"/>
              <w:bottom w:val="single" w:color="1A7A8A" w:sz="1"/>
              <w:right w:val="single" w:color="1A7A8A" w:sz="1"/>
            </w:tcBorders>
            <w:shd w:fill="EAF4F6" w:val="clear"/>
            <w:tcMar>
              <w:top w:type="dxa" w:w="130"/>
              <w:left w:type="dxa" w:w="200"/>
              <w:bottom w:type="dxa" w:w="130"/>
              <w:right w:type="dxa" w:w="160"/>
            </w:tcMar>
          </w:tcPr>
          <w:p>
            <w:pPr>
              <w:spacing w:before="0" w:after="80"/>
            </w:pPr>
            <w:r>
              <w:rPr>
                <w:rFonts w:ascii="Arial" w:cs="Arial" w:eastAsia="Arial" w:hAnsi="Arial"/>
                <w:b/>
                <w:bCs/>
                <w:color w:val="1A7A8A"/>
                <w:sz w:val="21"/>
                <w:szCs w:val="21"/>
              </w:rPr>
              <w:t xml:space="preserve">Real-World Validation Addition</w:t>
            </w:r>
          </w:p>
          <w:p>
            <w:pPr>
              <w:spacing w:before="0" w:after="0"/>
              <w:jc w:val="both"/>
            </w:pPr>
            <w:r>
              <w:rPr>
                <w:rFonts w:ascii="Arial" w:cs="Arial" w:eastAsia="Arial" w:hAnsi="Arial"/>
                <w:color w:val="333333"/>
                <w:sz w:val="20"/>
                <w:szCs w:val="20"/>
              </w:rPr>
              <w:t xml:space="preserve">A 30-minute live injection of Loghub HDFS traces into RabbitMQ provides a second validation dataset beyond the synthetic 1,950-event set. Real network traffic patterns — out-of-order message arrival, variable injection rates, genuine log noise — stress-test the DLX quarantine, the Pydantic validator, and the ADM models under conditions that synthetic generation cannot replicate. Results reported alongside synthetic benchmarks. Estimated effort: 2 days in Phase 5.</w:t>
            </w:r>
          </w:p>
        </w:tc>
      </w:tr>
    </w:tbl>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5. Semi-Autonomous Remediation — Risk Tier Classification</w:t>
      </w:r>
    </w:p>
    <w:p>
      <w:pPr>
        <w:pStyle w:val="Heading2"/>
        <w:spacing w:before="240" w:after="110"/>
      </w:pPr>
      <w:r>
        <w:rPr>
          <w:rFonts w:ascii="Arial" w:cs="Arial" w:eastAsia="Arial" w:hAnsi="Arial"/>
          <w:b/>
          <w:bCs/>
          <w:color w:val="1A7A8A"/>
          <w:sz w:val="26"/>
          <w:szCs w:val="26"/>
        </w:rPr>
        <w:t xml:space="preserve">5.1 Low-Risk Actions — Auto-Execute</w:t>
      </w:r>
    </w:p>
    <w:p>
      <w:pPr>
        <w:spacing w:before="80" w:after="80"/>
        <w:jc w:val="both"/>
      </w:pPr>
      <w:r>
        <w:rPr>
          <w:rFonts w:ascii="Arial" w:cs="Arial" w:eastAsia="Arial" w:hAnsi="Arial"/>
          <w:b w:val="false"/>
          <w:bCs w:val="false"/>
          <w:i w:val="false"/>
          <w:iCs w:val="false"/>
          <w:color w:val="222222"/>
          <w:sz w:val="20"/>
          <w:szCs w:val="20"/>
        </w:rPr>
        <w:t xml:space="preserve">Idempotent, reversible, bounded blast radius. Policy Agent dispatches directly to the Auto-Execution Engine on Node 3. No human approval required.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Action</w:t>
            </w:r>
          </w:p>
        </w:tc>
        <w:tc>
          <w:tcPr>
            <w:tcW w:type="dxa" w:w="35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Trigger Condition</w:t>
            </w:r>
          </w:p>
        </w:tc>
        <w:tc>
          <w:tcPr>
            <w:tcW w:type="dxa" w:w="2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Execution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Service restart</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CPU/memory spike, throughput drop</w:t>
            </w:r>
          </w:p>
        </w:tc>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Automatic</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Consumer reconnection</w:t>
            </w:r>
          </w:p>
        </w:tc>
        <w:tc>
          <w:tcPr>
            <w:tcW w:type="dxa" w:w="3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RabbitMQ consumer crash detected</w:t>
            </w:r>
          </w:p>
        </w:tc>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Automatic</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Queue flush</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Queue depth exceeds configured threshold</w:t>
            </w:r>
          </w:p>
        </w:tc>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Automatic</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DLX replay</w:t>
            </w:r>
          </w:p>
        </w:tc>
        <w:tc>
          <w:tcPr>
            <w:tcW w:type="dxa" w:w="3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Malformed message spike resolved</w:t>
            </w:r>
          </w:p>
        </w:tc>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Automatic</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Connection pool reset</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Auth failure flood — connection exhaustion</w:t>
            </w:r>
          </w:p>
        </w:tc>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Automatic</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Retry escalation</w:t>
            </w:r>
          </w:p>
        </w:tc>
        <w:tc>
          <w:tcPr>
            <w:tcW w:type="dxa" w:w="3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Transient upstream service failure</w:t>
            </w:r>
          </w:p>
        </w:tc>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Automatic</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5.2 High-Risk Actions — Mandatory Human Approval</w:t>
      </w:r>
    </w:p>
    <w:p>
      <w:pPr>
        <w:spacing w:before="80" w:after="80"/>
        <w:jc w:val="both"/>
      </w:pPr>
      <w:r>
        <w:rPr>
          <w:rFonts w:ascii="Arial" w:cs="Arial" w:eastAsia="Arial" w:hAnsi="Arial"/>
          <w:b w:val="false"/>
          <w:bCs w:val="false"/>
          <w:i w:val="false"/>
          <w:iCs w:val="false"/>
          <w:color w:val="222222"/>
          <w:sz w:val="20"/>
          <w:szCs w:val="20"/>
        </w:rPr>
        <w:t xml:space="preserve">Irreversible, wide blast radius, or low confidence. Policy Agent routes to HITL Gateway. Operator sees the full AI reasoning chain before deciding. All rejected actions propagate to the Learning Agent as negative examples.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Action</w:t>
            </w:r>
          </w:p>
        </w:tc>
        <w:tc>
          <w:tcPr>
            <w:tcW w:type="dxa" w:w="45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Risk Reason</w:t>
            </w:r>
          </w:p>
        </w:tc>
        <w:tc>
          <w:tcPr>
            <w:tcW w:type="dxa" w:w="2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Approval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Model redeployment</w:t>
            </w:r>
          </w:p>
        </w:tc>
        <w:tc>
          <w:tcPr>
            <w:tcW w:type="dxa" w:w="4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Irreversible — affects all future anomaly detections</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Human required</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Schema migration</w:t>
            </w:r>
          </w:p>
        </w:tc>
        <w:tc>
          <w:tcPr>
            <w:tcW w:type="dxa" w:w="4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Data integrity risk across all downstream consumers</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Human required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Infrastructure reconfiguration</w:t>
            </w:r>
          </w:p>
        </w:tc>
        <w:tc>
          <w:tcPr>
            <w:tcW w:type="dxa" w:w="4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Wide blast radius — affects all three nodes</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Human required</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Anomaly reclassification</w:t>
            </w:r>
          </w:p>
        </w:tc>
        <w:tc>
          <w:tcPr>
            <w:tcW w:type="dxa" w:w="4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Changes ground truth labels used for retraining</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Human required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Low-confidence strategy</w:t>
            </w:r>
          </w:p>
        </w:tc>
        <w:tc>
          <w:tcPr>
            <w:tcW w:type="dxa" w:w="4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Strategy confidence below defined threshold</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Human required</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Novel failure mode</w:t>
            </w:r>
          </w:p>
        </w:tc>
        <w:tc>
          <w:tcPr>
            <w:tcW w:type="dxa" w:w="4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No historical precedent found in ChromaDB RAG</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Human required</w:t>
            </w:r>
          </w:p>
        </w:tc>
      </w:tr>
    </w:tbl>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6. Evaluation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8"/>
              <w:bottom w:val="single" w:color="C45E00" w:sz="1"/>
              <w:right w:val="single" w:color="C45E00" w:sz="1"/>
            </w:tcBorders>
            <w:shd w:fill="FFF8E1" w:val="clear"/>
            <w:tcMar>
              <w:top w:type="dxa" w:w="130"/>
              <w:left w:type="dxa" w:w="200"/>
              <w:bottom w:type="dxa" w:w="130"/>
              <w:right w:type="dxa" w:w="160"/>
            </w:tcMar>
          </w:tcPr>
          <w:p>
            <w:pPr>
              <w:spacing w:before="0" w:after="80"/>
            </w:pPr>
            <w:r>
              <w:rPr>
                <w:rFonts w:ascii="Arial" w:cs="Arial" w:eastAsia="Arial" w:hAnsi="Arial"/>
                <w:b/>
                <w:bCs/>
                <w:color w:val="C45E00"/>
                <w:sz w:val="21"/>
                <w:szCs w:val="21"/>
              </w:rPr>
              <w:t xml:space="preserve">Evaluation is 40% of Project Effort</w:t>
            </w:r>
          </w:p>
          <w:p>
            <w:pPr>
              <w:spacing w:before="0" w:after="0"/>
              <w:jc w:val="both"/>
            </w:pPr>
            <w:r>
              <w:rPr>
                <w:rFonts w:ascii="Arial" w:cs="Arial" w:eastAsia="Arial" w:hAnsi="Arial"/>
                <w:color w:val="333333"/>
                <w:sz w:val="20"/>
                <w:szCs w:val="20"/>
              </w:rPr>
              <w:t xml:space="preserve">The evaluation framework is the core differentiator from all four cited papers. Mayilsamy provides no hardware benchmarks. Chakraborty and Kothamasu provide no experiments. Kirubakaran provides cloud benchmarks only. Every benchmark table, latency graph, and Cohen's Kappa score produced here is something the cited literature cannot match. That is the entire argument for publication.</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6.1 Anomaly Detection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Metric</w:t>
            </w:r>
          </w:p>
        </w:tc>
        <w:tc>
          <w:tcPr>
            <w:tcW w:type="dxa" w:w="2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Target</w:t>
            </w:r>
          </w:p>
        </w:tc>
        <w:tc>
          <w:tcPr>
            <w:tcW w:type="dxa" w:w="45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Notes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Precision</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&gt; 80%</w:t>
            </w:r>
          </w:p>
        </w:tc>
        <w:tc>
          <w:tcPr>
            <w:tcW w:type="dxa" w:w="4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Of all flagged anomalies, proportion that are genuine</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Recall</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&gt; 85%</w:t>
            </w:r>
          </w:p>
        </w:tc>
        <w:tc>
          <w:tcPr>
            <w:tcW w:type="dxa" w:w="4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Of all real anomalies, proportion correctly detected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F1 Score</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&gt; 82%</w:t>
            </w:r>
          </w:p>
        </w:tc>
        <w:tc>
          <w:tcPr>
            <w:tcW w:type="dxa" w:w="4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Harmonic mean of precision and recall</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False Positive Rate</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&lt; 15%</w:t>
            </w:r>
          </w:p>
        </w:tc>
        <w:tc>
          <w:tcPr>
            <w:tcW w:type="dxa" w:w="4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Alert fatigue measure — proportion of false alarms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Mean Time to Alert (MTTA)</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&lt; 10 seconds</w:t>
            </w:r>
          </w:p>
        </w:tc>
        <w:tc>
          <w:tcPr>
            <w:tcW w:type="dxa" w:w="4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Layer 1 detection speed — measured on real Ethernet cluster</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6.2 Multi-Agent Coordination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Benchmark</w:t>
            </w:r>
          </w:p>
        </w:tc>
        <w:tc>
          <w:tcPr>
            <w:tcW w:type="dxa" w:w="3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What It Measures</w:t>
            </w:r>
          </w:p>
        </w:tc>
        <w:tc>
          <w:tcPr>
            <w:tcW w:type="dxa" w:w="35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Method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Coordination overhead</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Multi-agent vs single-agent end-to-end latency</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Same 30-incident evaluation set, both architectures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Per-agent latency</w:t>
            </w:r>
          </w:p>
        </w:tc>
        <w:tc>
          <w:tcPr>
            <w:tcW w:type="dxa" w:w="3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Triage / Strategy / Policy independently</w:t>
            </w:r>
          </w:p>
        </w:tc>
        <w:tc>
          <w:tcPr>
            <w:tcW w:type="dxa" w:w="3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RabbitMQ message timestamps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Triage accuracy</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Correct anomaly classification rate</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Against ground truth labels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Strategy quality — Cohen's Kappa</w:t>
            </w:r>
          </w:p>
        </w:tc>
        <w:tc>
          <w:tcPr>
            <w:tcW w:type="dxa" w:w="3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Inter-rater agreement on Phi-4 Mini responses</w:t>
            </w:r>
          </w:p>
        </w:tc>
        <w:tc>
          <w:tcPr>
            <w:tcW w:type="dxa" w:w="3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Both students score 30 prompts independently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Risk classification accuracy</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False escalation + false automation rates</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Manual review of 30 Policy Agent decisions</w:t>
            </w:r>
          </w:p>
        </w:tc>
      </w:tr>
      <w:tr>
        <w:tc>
          <w:tcPr>
            <w:tcW w:type="dxa" w:w="28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Learning Agent effectiveness</w:t>
            </w:r>
          </w:p>
        </w:tc>
        <w:tc>
          <w:tcPr>
            <w:tcW w:type="dxa" w:w="30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ChromaDB growth + Triage recall improvement</w:t>
            </w:r>
          </w:p>
        </w:tc>
        <w:tc>
          <w:tcPr>
            <w:tcW w:type="dxa" w:w="356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Early vs late evaluation windows — windowed F1</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6.3 Distributed Cluster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Benchmark</w:t>
            </w:r>
          </w:p>
        </w:tc>
        <w:tc>
          <w:tcPr>
            <w:tcW w:type="dxa" w:w="3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What It Measures</w:t>
            </w:r>
          </w:p>
        </w:tc>
        <w:tc>
          <w:tcPr>
            <w:tcW w:type="dxa" w:w="35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Setup</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Ethernet vs WiFi latency</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Cross-node communication impact under load</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Cat5e/6 vs 5GHz WiFi on all inter-node paths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RabbitMQ throughput</w:t>
            </w:r>
          </w:p>
        </w:tc>
        <w:tc>
          <w:tcPr>
            <w:tcW w:type="dxa" w:w="3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Message broker capacity and saturation point</w:t>
            </w:r>
          </w:p>
        </w:tc>
        <w:tc>
          <w:tcPr>
            <w:tcW w:type="dxa" w:w="3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Sustained injection at 100 / 500 / 1000 events/min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NTP drift</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Timestamp accuracy for event correlation</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Measured across all 3 nodes simultaneously</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End-to-end pipeline latency</w:t>
            </w:r>
          </w:p>
        </w:tc>
        <w:tc>
          <w:tcPr>
            <w:tcW w:type="dxa" w:w="3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Event generation to execution dispatch</w:t>
            </w:r>
          </w:p>
        </w:tc>
        <w:tc>
          <w:tcPr>
            <w:tcW w:type="dxa" w:w="35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Full Ethernet cluster run with Prometheus timestamps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LLM inference throughput</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Phi-4 Mini tokens/sec on CPU-only Node 2</w:t>
            </w:r>
          </w:p>
        </w:tc>
        <w:tc>
          <w:tcPr>
            <w:tcW w:type="dxa" w:w="35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Measured under concurrent agent load</w:t>
            </w:r>
          </w:p>
        </w:tc>
      </w:tr>
      <w:tr>
        <w:tc>
          <w:tcPr>
            <w:tcW w:type="dxa" w:w="28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Real-stream replay stability</w:t>
            </w:r>
          </w:p>
        </w:tc>
        <w:tc>
          <w:tcPr>
            <w:tcW w:type="dxa" w:w="30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System behaviour under real log traffic</w:t>
            </w:r>
          </w:p>
        </w:tc>
        <w:tc>
          <w:tcPr>
            <w:tcW w:type="dxa" w:w="356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30-min Loghub HDFS trace injection via RabbitMQ</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6.4 Baseline Comparison</w:t>
      </w:r>
    </w:p>
    <w:p>
      <w:pPr>
        <w:spacing w:before="80" w:after="80"/>
        <w:jc w:val="both"/>
      </w:pPr>
      <w:r>
        <w:rPr>
          <w:rFonts w:ascii="Arial" w:cs="Arial" w:eastAsia="Arial" w:hAnsi="Arial"/>
          <w:b w:val="false"/>
          <w:bCs w:val="false"/>
          <w:i w:val="false"/>
          <w:iCs w:val="false"/>
          <w:color w:val="222222"/>
          <w:sz w:val="20"/>
          <w:szCs w:val="20"/>
        </w:rPr>
        <w:t xml:space="preserve">A threshold-only system (no AI, no agents, static if/else rules) is evaluated against the same 1,950-event dataset. This produces the before/after comparison that Chakraborty and Kothamasu describe conceptually but never measure. A single-agent baseline (one LLM call per anomaly, no agent decomposition) is additionally evaluated for the direct multi-agent coordination comparison required by Contribution 2.</w:t>
      </w:r>
    </w:p>
    <w:p>
      <w:pPr>
        <w:spacing w:before="80" w:after="80"/>
      </w:pPr>
      <w:r>
        <w:t xml:space="preserve"/>
      </w:r>
    </w:p>
    <w:p>
      <w:pPr>
        <w:pStyle w:val="Heading2"/>
        <w:spacing w:before="240" w:after="110"/>
      </w:pPr>
      <w:r>
        <w:rPr>
          <w:rFonts w:ascii="Arial" w:cs="Arial" w:eastAsia="Arial" w:hAnsi="Arial"/>
          <w:b/>
          <w:bCs/>
          <w:color w:val="1A7A8A"/>
          <w:sz w:val="26"/>
          <w:szCs w:val="26"/>
        </w:rPr>
        <w:t xml:space="preserve">6.5 Edge LLM vs Cloud LLM Reasoning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8"/>
              <w:bottom w:val="single" w:color="C45E00" w:sz="1"/>
              <w:right w:val="single" w:color="C45E00" w:sz="1"/>
            </w:tcBorders>
            <w:shd w:fill="FEF3E2" w:val="clear"/>
            <w:tcMar>
              <w:top w:type="dxa" w:w="130"/>
              <w:left w:type="dxa" w:w="200"/>
              <w:bottom w:type="dxa" w:w="130"/>
              <w:right w:type="dxa" w:w="160"/>
            </w:tcMar>
          </w:tcPr>
          <w:p>
            <w:pPr>
              <w:spacing w:before="0" w:after="80"/>
            </w:pPr>
            <w:r>
              <w:rPr>
                <w:rFonts w:ascii="Arial" w:cs="Arial" w:eastAsia="Arial" w:hAnsi="Arial"/>
                <w:b/>
                <w:bCs/>
                <w:color w:val="C45E00"/>
                <w:sz w:val="21"/>
                <w:szCs w:val="21"/>
              </w:rPr>
              <w:t xml:space="preserve">Optional — Activated Only if API Access is Obtained Before August 2026</w:t>
            </w:r>
          </w:p>
          <w:p>
            <w:pPr>
              <w:spacing w:before="80" w:after="80"/>
              <w:jc w:val="both"/>
            </w:pPr>
            <w:r>
              <w:rPr>
                <w:rFonts w:ascii="Arial" w:cs="Arial" w:eastAsia="Arial" w:hAnsi="Arial"/>
                <w:b w:val="false"/>
                <w:bCs w:val="false"/>
                <w:i w:val="false"/>
                <w:iCs w:val="false"/>
                <w:color w:val="222222"/>
                <w:sz w:val="20"/>
                <w:szCs w:val="20"/>
              </w:rPr>
              <w:t xml:space="preserve">The same 30 curated incident prompts used for Cohen's Kappa evaluation are submitted to GPT-4o-mini via API. Strategy quality scores are compared side-by-side with Phi-4 Mini 4-bit responses using the same inter-rater rubric and scoring sheet. Produces the first measured comparison of a quantised commodity edge LLM against a frontier cloud model on structured data pipeline reasoning tasks — directly addressing the gap Mayilsamy identifies theoretically. If API access is not obtained before August 2026, this dimension moves entirely to Future Work with zero impact on the four primary contributions.</w:t>
            </w:r>
          </w:p>
        </w:tc>
      </w:tr>
    </w:tbl>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7. Research Contributions &amp; Publication Strategy</w:t>
      </w:r>
    </w:p>
    <w:p>
      <w:pPr>
        <w:pStyle w:val="Heading2"/>
        <w:spacing w:before="240" w:after="110"/>
      </w:pPr>
      <w:r>
        <w:rPr>
          <w:rFonts w:ascii="Arial" w:cs="Arial" w:eastAsia="Arial" w:hAnsi="Arial"/>
          <w:b/>
          <w:bCs/>
          <w:color w:val="1A7A8A"/>
          <w:sz w:val="26"/>
          <w:szCs w:val="26"/>
        </w:rPr>
        <w:t xml:space="preserve">7.1 Research Contributions</w:t>
      </w:r>
    </w:p>
    <w:p>
      <w:pPr>
        <w:spacing w:before="80" w:after="80"/>
        <w:jc w:val="both"/>
      </w:pPr>
      <w:r>
        <w:rPr>
          <w:rFonts w:ascii="Arial" w:cs="Arial" w:eastAsia="Arial" w:hAnsi="Arial"/>
          <w:b w:val="false"/>
          <w:bCs w:val="false"/>
          <w:i w:val="false"/>
          <w:iCs w:val="false"/>
          <w:color w:val="222222"/>
          <w:sz w:val="20"/>
          <w:szCs w:val="20"/>
        </w:rPr>
        <w:t xml:space="preserve">Four independently citable contributions, each derived from a specific gap in the cited literature. A fifth is activated conditionally.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8"/>
              <w:bottom w:val="single" w:color="1A7A8A" w:sz="1"/>
              <w:right w:val="single" w:color="1A7A8A" w:sz="1"/>
            </w:tcBorders>
            <w:shd w:fill="EAF4F6" w:val="clear"/>
            <w:tcMar>
              <w:top w:type="dxa" w:w="130"/>
              <w:left w:type="dxa" w:w="200"/>
              <w:bottom w:type="dxa" w:w="130"/>
              <w:right w:type="dxa" w:w="160"/>
            </w:tcMar>
          </w:tcPr>
          <w:p>
            <w:pPr>
              <w:spacing w:before="0" w:after="80"/>
            </w:pPr>
            <w:r>
              <w:rPr>
                <w:rFonts w:ascii="Arial" w:cs="Arial" w:eastAsia="Arial" w:hAnsi="Arial"/>
                <w:b/>
                <w:bCs/>
                <w:color w:val="1A7A8A"/>
                <w:sz w:val="21"/>
                <w:szCs w:val="21"/>
              </w:rPr>
              <w:t xml:space="preserve">Contribution 1 — Architecture</w:t>
            </w:r>
          </w:p>
          <w:p>
            <w:pPr>
              <w:spacing w:before="80" w:after="80"/>
              <w:jc w:val="both"/>
            </w:pPr>
            <w:r>
              <w:rPr>
                <w:rFonts w:ascii="Arial" w:cs="Arial" w:eastAsia="Arial" w:hAnsi="Arial"/>
                <w:b w:val="false"/>
                <w:bCs w:val="false"/>
                <w:i w:val="false"/>
                <w:iCs w:val="false"/>
                <w:color w:val="222222"/>
                <w:sz w:val="20"/>
                <w:szCs w:val="20"/>
              </w:rPr>
              <w:t xml:space="preserve">A fully implemented three-layer tiered hybrid agentic framework for self-healing streaming data pipelines on commodity hardware — the first paper to deploy and benchmark this class of system without cloud or GPU dependency. Fills the implementation gap shared by Chakraborty, Kothamasu, and implicitly identified by Mayilsamy.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8"/>
              <w:bottom w:val="single" w:color="1A7A8A" w:sz="1"/>
              <w:right w:val="single" w:color="1A7A8A" w:sz="1"/>
            </w:tcBorders>
            <w:shd w:fill="EAF4F6" w:val="clear"/>
            <w:tcMar>
              <w:top w:type="dxa" w:w="130"/>
              <w:left w:type="dxa" w:w="200"/>
              <w:bottom w:type="dxa" w:w="130"/>
              <w:right w:type="dxa" w:w="160"/>
            </w:tcMar>
          </w:tcPr>
          <w:p>
            <w:pPr>
              <w:spacing w:before="0" w:after="80"/>
            </w:pPr>
            <w:r>
              <w:rPr>
                <w:rFonts w:ascii="Arial" w:cs="Arial" w:eastAsia="Arial" w:hAnsi="Arial"/>
                <w:b/>
                <w:bCs/>
                <w:color w:val="1A7A8A"/>
                <w:sz w:val="21"/>
                <w:szCs w:val="21"/>
              </w:rPr>
              <w:t xml:space="preserve">Contribution 2 — Multi-Agent Coordination Protocol</w:t>
            </w:r>
          </w:p>
          <w:p>
            <w:pPr>
              <w:spacing w:before="80" w:after="80"/>
              <w:jc w:val="both"/>
            </w:pPr>
            <w:r>
              <w:rPr>
                <w:rFonts w:ascii="Arial" w:cs="Arial" w:eastAsia="Arial" w:hAnsi="Arial"/>
                <w:b w:val="false"/>
                <w:bCs w:val="false"/>
                <w:i w:val="false"/>
                <w:iCs w:val="false"/>
                <w:color w:val="222222"/>
                <w:sz w:val="20"/>
                <w:szCs w:val="20"/>
              </w:rPr>
              <w:t xml:space="preserve">A three-agent coordination system (Triage, Strategy, Policy) with explicit input/output contracts, event-driven RabbitMQ handoffs, per-agent latency measurement via message timestamps, and direct empirical comparison against a single-agent baseline on the same 30-incident evaluation set. Fills the multi-agent coordination gap explicitly identified as future work by Kirubakaran.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1"/>
              <w:left w:val="single" w:color="1D6F42" w:sz="18"/>
              <w:bottom w:val="single" w:color="1D6F42" w:sz="1"/>
              <w:right w:val="single" w:color="1D6F42" w:sz="1"/>
            </w:tcBorders>
            <w:shd w:fill="EAF5EE" w:val="clear"/>
            <w:tcMar>
              <w:top w:type="dxa" w:w="130"/>
              <w:left w:type="dxa" w:w="200"/>
              <w:bottom w:type="dxa" w:w="130"/>
              <w:right w:type="dxa" w:w="160"/>
            </w:tcMar>
          </w:tcPr>
          <w:p>
            <w:pPr>
              <w:spacing w:before="0" w:after="80"/>
            </w:pPr>
            <w:r>
              <w:rPr>
                <w:rFonts w:ascii="Arial" w:cs="Arial" w:eastAsia="Arial" w:hAnsi="Arial"/>
                <w:b/>
                <w:bCs/>
                <w:color w:val="1D6F42"/>
                <w:sz w:val="21"/>
                <w:szCs w:val="21"/>
              </w:rPr>
              <w:t xml:space="preserve">Contribution 3 — Learning Agent</w:t>
            </w:r>
          </w:p>
          <w:p>
            <w:pPr>
              <w:spacing w:before="80" w:after="80"/>
              <w:jc w:val="both"/>
            </w:pPr>
            <w:r>
              <w:rPr>
                <w:rFonts w:ascii="Arial" w:cs="Arial" w:eastAsia="Arial" w:hAnsi="Arial"/>
                <w:b w:val="false"/>
                <w:bCs w:val="false"/>
                <w:i w:val="false"/>
                <w:iCs w:val="false"/>
                <w:color w:val="222222"/>
                <w:sz w:val="20"/>
                <w:szCs w:val="20"/>
              </w:rPr>
              <w:t xml:space="preserve">A lightweight per-incident feedback mechanism that converts ChromaDB from a static RAG store into an evolving knowledge base. After every resolved incident the Learning Agent upserts the outcome into ChromaDB, recalibrates per-anomaly confidence thresholds via exponential moving average, and tags rejected HITL decisions as negative examples. Fires after dispatch and adds zero latency to the remediation loop. Operationalises the knowledge accumulation concept described but not implemented by Chakraborty and Kothamasu, and directly answers the policy learning direction identified as future work by Kirubakaran.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8"/>
              <w:bottom w:val="single" w:color="1A7A8A" w:sz="1"/>
              <w:right w:val="single" w:color="1A7A8A" w:sz="1"/>
            </w:tcBorders>
            <w:shd w:fill="EAF4F6" w:val="clear"/>
            <w:tcMar>
              <w:top w:type="dxa" w:w="130"/>
              <w:left w:type="dxa" w:w="200"/>
              <w:bottom w:type="dxa" w:w="130"/>
              <w:right w:type="dxa" w:w="160"/>
            </w:tcMar>
          </w:tcPr>
          <w:p>
            <w:pPr>
              <w:spacing w:before="0" w:after="80"/>
            </w:pPr>
            <w:r>
              <w:rPr>
                <w:rFonts w:ascii="Arial" w:cs="Arial" w:eastAsia="Arial" w:hAnsi="Arial"/>
                <w:b/>
                <w:bCs/>
                <w:color w:val="1A7A8A"/>
                <w:sz w:val="21"/>
                <w:szCs w:val="21"/>
              </w:rPr>
              <w:t xml:space="preserve">Contribution 4 — Distributed Commodity Hardware Benchmark</w:t>
            </w:r>
          </w:p>
          <w:p>
            <w:pPr>
              <w:spacing w:before="80" w:after="80"/>
              <w:jc w:val="both"/>
            </w:pPr>
            <w:r>
              <w:rPr>
                <w:rFonts w:ascii="Arial" w:cs="Arial" w:eastAsia="Arial" w:hAnsi="Arial"/>
                <w:b w:val="false"/>
                <w:bCs w:val="false"/>
                <w:i w:val="false"/>
                <w:iCs w:val="false"/>
                <w:color w:val="222222"/>
                <w:sz w:val="20"/>
                <w:szCs w:val="20"/>
              </w:rPr>
              <w:t xml:space="preserve">Cross-node latency, RabbitMQ throughput, NTP drift, and end-to-end pipeline timing benchmarks on a real three-node Ethernet-connected cluster. The first empirical dataset of this type for agentic self-healing pipeline systems, extending Kirubakaran's cloud evaluation to the commodity hardware context that Mayilsamy validates theoretically but does not measure.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8"/>
              <w:bottom w:val="single" w:color="C45E00" w:sz="1"/>
              <w:right w:val="single" w:color="C45E00" w:sz="1"/>
            </w:tcBorders>
            <w:shd w:fill="FEF3E2" w:val="clear"/>
            <w:tcMar>
              <w:top w:type="dxa" w:w="130"/>
              <w:left w:type="dxa" w:w="200"/>
              <w:bottom w:type="dxa" w:w="130"/>
              <w:right w:type="dxa" w:w="160"/>
            </w:tcMar>
          </w:tcPr>
          <w:p>
            <w:pPr>
              <w:spacing w:before="0" w:after="80"/>
            </w:pPr>
            <w:r>
              <w:rPr>
                <w:rFonts w:ascii="Arial" w:cs="Arial" w:eastAsia="Arial" w:hAnsi="Arial"/>
                <w:b/>
                <w:bCs/>
                <w:color w:val="C45E00"/>
                <w:sz w:val="21"/>
                <w:szCs w:val="21"/>
              </w:rPr>
              <w:t xml:space="preserve">Contribution 5 — Edge LLM vs Cloud LLM Reasoning Quality  (Optional)</w:t>
            </w:r>
          </w:p>
          <w:p>
            <w:pPr>
              <w:spacing w:before="80" w:after="80"/>
              <w:jc w:val="both"/>
            </w:pPr>
            <w:r>
              <w:rPr>
                <w:rFonts w:ascii="Arial" w:cs="Arial" w:eastAsia="Arial" w:hAnsi="Arial"/>
                <w:b w:val="false"/>
                <w:bCs w:val="false"/>
                <w:i w:val="false"/>
                <w:iCs w:val="false"/>
                <w:color w:val="222222"/>
                <w:sz w:val="20"/>
                <w:szCs w:val="20"/>
              </w:rPr>
              <w:t xml:space="preserve">Direct comparison of Phi-4 Mini 4-bit quantisation against GPT-4o-mini on 30 curated incident prompts using the same Cohen's Kappa rubric. Activated only if API access is obtained before August 2026. If not obtained, moves to Future Work with no impact on the four primary contributions above.</w:t>
            </w:r>
          </w:p>
        </w:tc>
      </w:tr>
    </w:tbl>
    <w:p>
      <w:pPr>
        <w:spacing w:before="80" w:after="80"/>
      </w:pPr>
      <w:r>
        <w:t xml:space="preserve"/>
      </w:r>
    </w:p>
    <w:p>
      <w:pPr>
        <w:pStyle w:val="Heading2"/>
        <w:spacing w:before="240" w:after="110"/>
      </w:pPr>
      <w:r>
        <w:rPr>
          <w:rFonts w:ascii="Arial" w:cs="Arial" w:eastAsia="Arial" w:hAnsi="Arial"/>
          <w:b/>
          <w:bCs/>
          <w:color w:val="1A7A8A"/>
          <w:sz w:val="26"/>
          <w:szCs w:val="26"/>
        </w:rPr>
        <w:t xml:space="preserve">7.2 Target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400"/>
        <w:gridCol w:w="1200"/>
        <w:gridCol w:w="3060"/>
      </w:tblGrid>
      <w:tr>
        <w:tc>
          <w:tcPr>
            <w:tcW w:type="dxa" w:w="2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Journal / Venue</w:t>
            </w:r>
          </w:p>
        </w:tc>
        <w:tc>
          <w:tcPr>
            <w:tcW w:type="dxa" w:w="9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Tier</w:t>
            </w:r>
          </w:p>
        </w:tc>
        <w:tc>
          <w:tcPr>
            <w:tcW w:type="dxa" w:w="14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Review Time</w:t>
            </w:r>
          </w:p>
        </w:tc>
        <w:tc>
          <w:tcPr>
            <w:tcW w:type="dxa" w:w="12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Access</w:t>
            </w:r>
          </w:p>
        </w:tc>
        <w:tc>
          <w:tcPr>
            <w:tcW w:type="dxa" w:w="30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Notes</w:t>
            </w:r>
          </w:p>
        </w:tc>
      </w:tr>
      <w:tr>
        <w:tc>
          <w:tcPr>
            <w:tcW w:type="dxa" w:w="28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MDPI Big Data &amp; Cognitive Computing</w:t>
            </w:r>
          </w:p>
        </w:tc>
        <w:tc>
          <w:tcPr>
            <w:tcW w:type="dxa" w:w="9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Primary</w:t>
            </w:r>
          </w:p>
        </w:tc>
        <w:tc>
          <w:tcPr>
            <w:tcW w:type="dxa" w:w="14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4–6 weeks</w:t>
            </w:r>
          </w:p>
        </w:tc>
        <w:tc>
          <w:tcPr>
            <w:tcW w:type="dxa" w:w="12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Open Access</w:t>
            </w:r>
          </w:p>
        </w:tc>
        <w:tc>
          <w:tcPr>
            <w:tcW w:type="dxa" w:w="306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Direct alignment with project scope. Fast turnaround. Undergraduate FYP papers accepted.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Future Generation Computer Systems</w:t>
            </w:r>
          </w:p>
        </w:tc>
        <w:tc>
          <w:tcPr>
            <w:tcW w:type="dxa" w:w="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Backup</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2–4 months</w:t>
            </w:r>
          </w:p>
        </w:tc>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Open Access</w:t>
            </w:r>
          </w:p>
        </w:tc>
        <w:tc>
          <w:tcPr>
            <w:tcW w:type="dxa" w:w="30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Strong Big Data + multi-agent systems fit.</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MDPI Electronics</w:t>
            </w:r>
          </w:p>
        </w:tc>
        <w:tc>
          <w:tcPr>
            <w:tcW w:type="dxa" w:w="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Backup</w:t>
            </w:r>
          </w:p>
        </w:tc>
        <w:tc>
          <w:tcPr>
            <w:tcW w:type="dxa" w:w="1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4–6 weeks</w:t>
            </w:r>
          </w:p>
        </w:tc>
        <w:tc>
          <w:tcPr>
            <w:tcW w:type="dxa" w:w="1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Open Access</w:t>
            </w:r>
          </w:p>
        </w:tc>
        <w:tc>
          <w:tcPr>
            <w:tcW w:type="dxa" w:w="30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Broader scope. Still valid for commodity hardware work.</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IEEE Workshop (INFOCOM / ICSOC)</w:t>
            </w:r>
          </w:p>
        </w:tc>
        <w:tc>
          <w:tcPr>
            <w:tcW w:type="dxa" w:w="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Conference</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6–8 weeks</w:t>
            </w:r>
          </w:p>
        </w:tc>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Varies</w:t>
            </w:r>
          </w:p>
        </w:tc>
        <w:tc>
          <w:tcPr>
            <w:tcW w:type="dxa" w:w="30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6–8 page short paper. Good stepping stone if full journal timeline is tight.</w:t>
            </w:r>
          </w:p>
        </w:tc>
      </w:tr>
    </w:tbl>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8.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8"/>
              <w:bottom w:val="single" w:color="C45E00" w:sz="1"/>
              <w:right w:val="single" w:color="C45E00" w:sz="1"/>
            </w:tcBorders>
            <w:shd w:fill="FFF8E1" w:val="clear"/>
            <w:tcMar>
              <w:top w:type="dxa" w:w="130"/>
              <w:left w:type="dxa" w:w="200"/>
              <w:bottom w:type="dxa" w:w="130"/>
              <w:right w:type="dxa" w:w="160"/>
            </w:tcMar>
          </w:tcPr>
          <w:p>
            <w:pPr>
              <w:spacing w:before="0" w:after="80"/>
            </w:pPr>
            <w:r>
              <w:rPr>
                <w:rFonts w:ascii="Arial" w:cs="Arial" w:eastAsia="Arial" w:hAnsi="Arial"/>
                <w:b/>
                <w:bCs/>
                <w:color w:val="C45E00"/>
                <w:sz w:val="21"/>
                <w:szCs w:val="21"/>
              </w:rPr>
              <w:t xml:space="preserve">CRITICAL — Codebase Freeze: 31 July 2026</w:t>
            </w:r>
          </w:p>
          <w:p>
            <w:pPr>
              <w:spacing w:before="80" w:after="80"/>
              <w:jc w:val="both"/>
            </w:pPr>
            <w:r>
              <w:rPr>
                <w:rFonts w:ascii="Arial" w:cs="Arial" w:eastAsia="Arial" w:hAnsi="Arial"/>
                <w:b w:val="false"/>
                <w:bCs w:val="false"/>
                <w:i w:val="false"/>
                <w:iCs w:val="false"/>
                <w:color w:val="222222"/>
                <w:sz w:val="20"/>
                <w:szCs w:val="20"/>
              </w:rPr>
              <w:t xml:space="preserve">Self-imposed, non-negotiable. This date is not set by the supervisor — it is a scope discipline mechanism. No new features after 31 July under any circumstances. Everything proposed after this date goes into Future Work. A stable, measured, five-anomaly system with strong benchmarks scores higher than a feature-rich system with no results. Protect writing time ruthlessly from August onwards.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5260"/>
      </w:tblGrid>
      <w:tr>
        <w:tc>
          <w:tcPr>
            <w:tcW w:type="dxa" w:w="9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Phase</w:t>
            </w:r>
          </w:p>
        </w:tc>
        <w:tc>
          <w:tcPr>
            <w:tcW w:type="dxa" w:w="2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Dates</w:t>
            </w:r>
          </w:p>
        </w:tc>
        <w:tc>
          <w:tcPr>
            <w:tcW w:type="dxa" w:w="12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Duration</w:t>
            </w:r>
          </w:p>
        </w:tc>
        <w:tc>
          <w:tcPr>
            <w:tcW w:type="dxa" w:w="52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Deliverable / Milestone</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0</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11–31 Mar</w:t>
            </w:r>
          </w:p>
        </w:tc>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 weeks</w:t>
            </w:r>
          </w:p>
        </w:tc>
        <w:tc>
          <w:tcPr>
            <w:tcW w:type="dxa" w:w="52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All 3 nodes configured, datasets downloaded, Phi-4 Mini validated on Node 2. 30-prompt quality test completed and recorded.</w:t>
            </w:r>
          </w:p>
        </w:tc>
      </w:tr>
      <w:tr>
        <w:tc>
          <w:tcPr>
            <w:tcW w:type="dxa" w:w="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1–30 Apr</w:t>
            </w:r>
          </w:p>
        </w:tc>
        <w:tc>
          <w:tcPr>
            <w:tcW w:type="dxa" w:w="1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 weeks</w:t>
            </w:r>
          </w:p>
        </w:tc>
        <w:tc>
          <w:tcPr>
            <w:tcW w:type="dxa" w:w="52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Layer 1 complete — all 5 anomaly models fitted and classifying correctly. RabbitMQ, DLX, and Stream Processor operational.</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1–31 May</w:t>
            </w:r>
          </w:p>
        </w:tc>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 weeks</w:t>
            </w:r>
          </w:p>
        </w:tc>
        <w:tc>
          <w:tcPr>
            <w:tcW w:type="dxa" w:w="52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Four-agent system operational — Triage, Strategy, Policy, Learning agents running on Node 2. ChromaDB populated with initial incident examples.</w:t>
            </w:r>
          </w:p>
        </w:tc>
      </w:tr>
      <w:tr>
        <w:tc>
          <w:tcPr>
            <w:tcW w:type="dxa" w:w="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1–30 Jun</w:t>
            </w:r>
          </w:p>
        </w:tc>
        <w:tc>
          <w:tcPr>
            <w:tcW w:type="dxa" w:w="1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 weeks</w:t>
            </w:r>
          </w:p>
        </w:tc>
        <w:tc>
          <w:tcPr>
            <w:tcW w:type="dxa" w:w="52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Layer 3 complete — Auto-Execution Engine, HITL Dashboard, and Prometheus + Grafana observability stack running end-to-end.</w:t>
            </w:r>
          </w:p>
        </w:tc>
      </w:tr>
      <w:tr>
        <w:tc>
          <w:tcPr>
            <w:tcW w:type="dxa" w:w="900"/>
            <w:gridSpan w:val="1"/>
            <w:tcBorders>
              <w:top w:val="single" w:color="CCCCCC" w:sz="1"/>
              <w:left w:val="single" w:color="CCCCCC" w:sz="1"/>
              <w:bottom w:val="single" w:color="CCCCCC" w:sz="1"/>
              <w:right w:val="single" w:color="CCCCCC" w:sz="1"/>
            </w:tcBorders>
            <w:shd w:fill="FEF3E2"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w:t>
            </w:r>
          </w:p>
        </w:tc>
        <w:tc>
          <w:tcPr>
            <w:tcW w:type="dxa" w:w="2000"/>
            <w:gridSpan w:val="1"/>
            <w:tcBorders>
              <w:top w:val="single" w:color="CCCCCC" w:sz="1"/>
              <w:left w:val="single" w:color="CCCCCC" w:sz="1"/>
              <w:bottom w:val="single" w:color="CCCCCC" w:sz="1"/>
              <w:right w:val="single" w:color="CCCCCC" w:sz="1"/>
            </w:tcBorders>
            <w:shd w:fill="FEF3E2"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1–31 Jul</w:t>
            </w:r>
          </w:p>
        </w:tc>
        <w:tc>
          <w:tcPr>
            <w:tcW w:type="dxa" w:w="1200"/>
            <w:gridSpan w:val="1"/>
            <w:tcBorders>
              <w:top w:val="single" w:color="CCCCCC" w:sz="1"/>
              <w:left w:val="single" w:color="CCCCCC" w:sz="1"/>
              <w:bottom w:val="single" w:color="CCCCCC" w:sz="1"/>
              <w:right w:val="single" w:color="CCCCCC" w:sz="1"/>
            </w:tcBorders>
            <w:shd w:fill="FEF3E2"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 weeks</w:t>
            </w:r>
          </w:p>
        </w:tc>
        <w:tc>
          <w:tcPr>
            <w:tcW w:type="dxa" w:w="5260"/>
            <w:gridSpan w:val="1"/>
            <w:tcBorders>
              <w:top w:val="single" w:color="CCCCCC" w:sz="1"/>
              <w:left w:val="single" w:color="CCCCCC" w:sz="1"/>
              <w:bottom w:val="single" w:color="CCCCCC" w:sz="1"/>
              <w:right w:val="single" w:color="CCCCCC" w:sz="1"/>
            </w:tcBorders>
            <w:shd w:fill="FEF3E2"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Full cluster stable on Ethernet for 2+ hours. Ethernet switch installed by 15 Jul. All benchmark runs completed. CODEBASE FROZEN 31 July.</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5</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1–31 Aug</w:t>
            </w:r>
          </w:p>
        </w:tc>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 weeks</w:t>
            </w:r>
          </w:p>
        </w:tc>
        <w:tc>
          <w:tcPr>
            <w:tcW w:type="dxa" w:w="52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All experiments complete — 1,950-event synthetic dataset, baseline comparison, agent coordination benchmarks, real-stream replay, optional LLM comparison.</w:t>
            </w:r>
          </w:p>
        </w:tc>
      </w:tr>
      <w:tr>
        <w:tc>
          <w:tcPr>
            <w:tcW w:type="dxa" w:w="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6</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1–30 Sep</w:t>
            </w:r>
          </w:p>
        </w:tc>
        <w:tc>
          <w:tcPr>
            <w:tcW w:type="dxa" w:w="1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 weeks</w:t>
            </w:r>
          </w:p>
        </w:tc>
        <w:tc>
          <w:tcPr>
            <w:tcW w:type="dxa" w:w="52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Complete paper draft written and submitted for supervisor review.</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7</w:t>
            </w:r>
          </w:p>
        </w:tc>
        <w:tc>
          <w:tcPr>
            <w:tcW w:type="dxa" w:w="2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1–15 Oct</w:t>
            </w:r>
          </w:p>
        </w:tc>
        <w:tc>
          <w:tcPr>
            <w:tcW w:type="dxa" w:w="12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 weeks</w:t>
            </w:r>
          </w:p>
        </w:tc>
        <w:tc>
          <w:tcPr>
            <w:tcW w:type="dxa" w:w="52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Paper submitted to MDPI Big Data &amp; Cognitive Computing.</w:t>
            </w:r>
          </w:p>
        </w:tc>
      </w:tr>
      <w:tr>
        <w:tc>
          <w:tcPr>
            <w:tcW w:type="dxa" w:w="9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Buffer</w:t>
            </w:r>
          </w:p>
        </w:tc>
        <w:tc>
          <w:tcPr>
            <w:tcW w:type="dxa" w:w="2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16 Oct–30 Nov</w:t>
            </w:r>
          </w:p>
        </w:tc>
        <w:tc>
          <w:tcPr>
            <w:tcW w:type="dxa" w:w="12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6 weeks</w:t>
            </w:r>
          </w:p>
        </w:tc>
        <w:tc>
          <w:tcPr>
            <w:tcW w:type="dxa" w:w="52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Reviewer response handled. Revise and resubmit, or redirect to FGCS / MDPI Electronics if rejected.</w:t>
            </w:r>
          </w:p>
        </w:tc>
      </w:tr>
      <w:tr>
        <w:tc>
          <w:tcPr>
            <w:tcW w:type="dxa" w:w="9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8</w:t>
            </w:r>
          </w:p>
        </w:tc>
        <w:tc>
          <w:tcPr>
            <w:tcW w:type="dxa" w:w="20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1–31 Dec</w:t>
            </w:r>
          </w:p>
        </w:tc>
        <w:tc>
          <w:tcPr>
            <w:tcW w:type="dxa" w:w="12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4 weeks</w:t>
            </w:r>
          </w:p>
        </w:tc>
        <w:tc>
          <w:tcPr>
            <w:tcW w:type="dxa" w:w="526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Dissertation finalised and submitted — 31 December 2026.</w:t>
            </w:r>
          </w:p>
        </w:tc>
      </w:tr>
    </w:tbl>
    <w:p>
      <w:pPr>
        <w:spacing w:before="120" w:after="120"/>
      </w:pPr>
      <w:r>
        <w:t xml:space="preserve"/>
      </w:r>
    </w:p>
    <w:p>
      <w:pPr>
        <w:pStyle w:val="Heading1"/>
        <w:pBdr>
          <w:bottom w:val="single" w:color="1A7A8A" w:sz="8" w:space="4"/>
        </w:pBdr>
        <w:spacing w:before="340" w:after="160"/>
      </w:pPr>
      <w:r>
        <w:rPr>
          <w:rFonts w:ascii="Arial" w:cs="Arial" w:eastAsia="Arial" w:hAnsi="Arial"/>
          <w:b/>
          <w:bCs/>
          <w:color w:val="1B3A5C"/>
          <w:sz w:val="32"/>
          <w:szCs w:val="32"/>
        </w:rPr>
        <w:t xml:space="preserve">9. Key Milestones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Date</w:t>
            </w:r>
          </w:p>
        </w:tc>
        <w:tc>
          <w:tcPr>
            <w:tcW w:type="dxa" w:w="69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Milestone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31 March 2026</w:t>
            </w:r>
          </w:p>
        </w:tc>
        <w:tc>
          <w:tcPr>
            <w:tcW w:type="dxa" w:w="69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Nodes configured, datasets downloaded, Phi-4 Mini validated</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 April 2026</w:t>
            </w:r>
          </w:p>
        </w:tc>
        <w:tc>
          <w:tcPr>
            <w:tcW w:type="dxa" w:w="69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Layer 1 complete — 5 anomaly types classifying, RabbitMQ + DLX operational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31 May 2026</w:t>
            </w:r>
          </w:p>
        </w:tc>
        <w:tc>
          <w:tcPr>
            <w:tcW w:type="dxa" w:w="69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Four-agent system complete — all agents running on Node 2</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 June 2026</w:t>
            </w:r>
          </w:p>
        </w:tc>
        <w:tc>
          <w:tcPr>
            <w:tcW w:type="dxa" w:w="69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Full pipeline end-to-end — auto-execution and HITL gateway operational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15 July 2026</w:t>
            </w:r>
          </w:p>
        </w:tc>
        <w:tc>
          <w:tcPr>
            <w:tcW w:type="dxa" w:w="69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Ethernet switch and cables installed</w:t>
            </w:r>
          </w:p>
        </w:tc>
      </w:tr>
      <w:tr>
        <w:tc>
          <w:tcPr>
            <w:tcW w:type="dxa" w:w="2400"/>
            <w:gridSpan w:val="1"/>
            <w:tcBorders>
              <w:top w:val="single" w:color="CCCCCC" w:sz="1"/>
              <w:left w:val="single" w:color="CCCCCC" w:sz="1"/>
              <w:bottom w:val="single" w:color="CCCCCC" w:sz="1"/>
              <w:right w:val="single" w:color="CCCCCC" w:sz="1"/>
            </w:tcBorders>
            <w:shd w:fill="FEF3E2"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31 July 2026</w:t>
            </w:r>
          </w:p>
        </w:tc>
        <w:tc>
          <w:tcPr>
            <w:tcW w:type="dxa" w:w="6960"/>
            <w:gridSpan w:val="1"/>
            <w:tcBorders>
              <w:top w:val="single" w:color="CCCCCC" w:sz="1"/>
              <w:left w:val="single" w:color="CCCCCC" w:sz="1"/>
              <w:bottom w:val="single" w:color="CCCCCC" w:sz="1"/>
              <w:right w:val="single" w:color="CCCCCC" w:sz="1"/>
            </w:tcBorders>
            <w:shd w:fill="FEF3E2"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CODEBASE FROZEN — all benchmarks recorded on Ethernet cluster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31 August 2026</w:t>
            </w:r>
          </w:p>
        </w:tc>
        <w:tc>
          <w:tcPr>
            <w:tcW w:type="dxa" w:w="69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All experiments done — real-stream replay complete, all result tables finalised</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 September 2026</w:t>
            </w:r>
          </w:p>
        </w:tc>
        <w:tc>
          <w:tcPr>
            <w:tcW w:type="dxa" w:w="69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Complete paper draft submitted for supervisor review</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15 October 2026</w:t>
            </w:r>
          </w:p>
        </w:tc>
        <w:tc>
          <w:tcPr>
            <w:tcW w:type="dxa" w:w="69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Paper submitted to MDPI Big Data &amp; Cognitive Computing</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 November 2026</w:t>
            </w:r>
          </w:p>
        </w:tc>
        <w:tc>
          <w:tcPr>
            <w:tcW w:type="dxa" w:w="69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Reviewer response handled or resubmission made</w:t>
            </w:r>
          </w:p>
        </w:tc>
      </w:tr>
      <w:tr>
        <w:tc>
          <w:tcPr>
            <w:tcW w:type="dxa" w:w="240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31 December 2026</w:t>
            </w:r>
          </w:p>
        </w:tc>
        <w:tc>
          <w:tcPr>
            <w:tcW w:type="dxa" w:w="6960"/>
            <w:gridSpan w:val="1"/>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DISSERTATION SUBMITTED</w:t>
            </w:r>
          </w:p>
        </w:tc>
      </w:tr>
    </w:tbl>
    <w:p>
      <w:pPr>
        <w:spacing w:before="120" w:after="120"/>
      </w:pPr>
      <w:r>
        <w:t xml:space="preserve"/>
      </w:r>
    </w:p>
    <w:p>
      <w:r>
        <w:br w:type="page"/>
      </w:r>
    </w:p>
    <w:p>
      <w:pPr>
        <w:pStyle w:val="Heading1"/>
        <w:pBdr>
          <w:bottom w:val="single" w:color="1A7A8A" w:sz="8" w:space="4"/>
        </w:pBdr>
        <w:spacing w:before="340" w:after="160"/>
      </w:pPr>
      <w:r>
        <w:rPr>
          <w:rFonts w:ascii="Arial" w:cs="Arial" w:eastAsia="Arial" w:hAnsi="Arial"/>
          <w:b/>
          <w:bCs/>
          <w:color w:val="1B3A5C"/>
          <w:sz w:val="32"/>
          <w:szCs w:val="32"/>
        </w:rPr>
        <w:t xml:space="preserve">10. Known Concerns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Concern</w:t>
            </w:r>
          </w:p>
        </w:tc>
        <w:tc>
          <w:tcPr>
            <w:tcW w:type="dxa" w:w="516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Mitigation</w:t>
            </w:r>
          </w:p>
        </w:tc>
        <w:tc>
          <w:tcPr>
            <w:tcW w:type="dxa" w:w="14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Effort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Phi-4 Mini reasoning quality insufficient</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Benchmark 30 structured prompts in Phase 0 and record results. If quality fails the threshold, upgrade Node 2 RAM to 16GB and switch to Llama 3.1 8B or Mistral 7B. Decision made with evidence, not assumption.</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 day</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Learning Agent overhead</w:t>
            </w:r>
          </w:p>
        </w:tc>
        <w:tc>
          <w:tcPr>
            <w:tcW w:type="dxa" w:w="51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Fires after dispatch — zero latency impact on the remediation loop. ChromaDB upserts are fast vector writes. Worst case: switch to hourly batch trigger. Architectural change: ~2 hours.</w:t>
            </w:r>
          </w:p>
        </w:tc>
        <w:tc>
          <w:tcPr>
            <w:tcW w:type="dxa" w:w="1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 hours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Agent coordination latency too high</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RabbitMQ timestamps isolate per-agent latency independently. If total exceeds 60s consistently, collapse Triage + Strategy into one agent. Architecture remains valid, benchmark still runs.</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 hours</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Real-stream replay instability</w:t>
            </w:r>
          </w:p>
        </w:tc>
        <w:tc>
          <w:tcPr>
            <w:tcW w:type="dxa" w:w="51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Loghub HDFS traces injected via DLX with full quarantine safety net. Malformed messages never reach the ADM. Run on a stable, frozen cluster in Phase 5.</w:t>
            </w:r>
          </w:p>
        </w:tc>
        <w:tc>
          <w:tcPr>
            <w:tcW w:type="dxa" w:w="1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 day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API access unavailable for LLM comparison</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This is an Optional evaluation dimension. Skipped entirely if API access cannot be obtained. Moves to Future Work. No impact on Contributions 1–4.</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 min</w:t>
            </w:r>
          </w:p>
        </w:tc>
      </w:tr>
      <w:tr>
        <w:tc>
          <w:tcPr>
            <w:tcW w:type="dxa" w:w="28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Stale ChromaDB context in RAG</w:t>
            </w:r>
          </w:p>
        </w:tc>
        <w:tc>
          <w:tcPr>
            <w:tcW w:type="dxa" w:w="516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Timestamp filter on RAG retrieval limits results to entries within a configurable recency window. Learning Agent recency tagging reinforces this automatically.</w:t>
            </w:r>
          </w:p>
        </w:tc>
        <w:tc>
          <w:tcPr>
            <w:tcW w:type="dxa" w:w="14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 hour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RabbitMQ message loss under load</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DLX configured on all queues. Persistent message delivery with acknowledgement required before queue removal.</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~30 min</w:t>
            </w:r>
          </w:p>
        </w:tc>
      </w:tr>
    </w:tbl>
    <w:p>
      <w:pPr>
        <w:spacing w:before="120" w:after="120"/>
      </w:pPr>
      <w:r>
        <w:t xml:space="preserve"/>
      </w:r>
    </w:p>
    <w:p>
      <w:pPr>
        <w:pStyle w:val="Heading1"/>
        <w:pBdr>
          <w:bottom w:val="single" w:color="1A7A8A" w:sz="8" w:space="4"/>
        </w:pBdr>
        <w:spacing w:before="340" w:after="160"/>
      </w:pPr>
      <w:r>
        <w:rPr>
          <w:rFonts w:ascii="Arial" w:cs="Arial" w:eastAsia="Arial" w:hAnsi="Arial"/>
          <w:b/>
          <w:bCs/>
          <w:color w:val="1B3A5C"/>
          <w:sz w:val="32"/>
          <w:szCs w:val="32"/>
        </w:rPr>
        <w:t xml:space="preserve">11. Hour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Component</w:t>
            </w:r>
          </w:p>
        </w:tc>
        <w:tc>
          <w:tcPr>
            <w:tcW w:type="dxa" w:w="168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Hours (Low)</w:t>
            </w:r>
          </w:p>
        </w:tc>
        <w:tc>
          <w:tcPr>
            <w:tcW w:type="dxa" w:w="168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Hours (High)</w:t>
            </w:r>
          </w:p>
        </w:tc>
      </w:tr>
      <w:tr>
        <w:tc>
          <w:tcPr>
            <w:tcW w:type="dxa" w:w="6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Layer 1 — Real-Time Data Plane (SEG, Stream Processor, ADM — 5 anomaly types)</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85</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105</w:t>
            </w:r>
          </w:p>
        </w:tc>
      </w:tr>
      <w:tr>
        <w:tc>
          <w:tcPr>
            <w:tcW w:type="dxa" w:w="6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Layer 2 — Multi-Agent AI Control Plane (4 agents + ChromaDB + RAG)</w:t>
            </w:r>
          </w:p>
        </w:tc>
        <w:tc>
          <w:tcPr>
            <w:tcW w:type="dxa" w:w="16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95</w:t>
            </w:r>
          </w:p>
        </w:tc>
        <w:tc>
          <w:tcPr>
            <w:tcW w:type="dxa" w:w="16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120</w:t>
            </w:r>
          </w:p>
        </w:tc>
      </w:tr>
      <w:tr>
        <w:tc>
          <w:tcPr>
            <w:tcW w:type="dxa" w:w="6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Layer 3 — Auto-Execution Engine + HITL Dashboard + Observability Stack</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55</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70</w:t>
            </w:r>
          </w:p>
        </w:tc>
      </w:tr>
      <w:tr>
        <w:tc>
          <w:tcPr>
            <w:tcW w:type="dxa" w:w="6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Cluster Infrastructure (SSH, RabbitMQ, NTP, Ethernet, Prometheus)</w:t>
            </w:r>
          </w:p>
        </w:tc>
        <w:tc>
          <w:tcPr>
            <w:tcW w:type="dxa" w:w="16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20</w:t>
            </w:r>
          </w:p>
        </w:tc>
        <w:tc>
          <w:tcPr>
            <w:tcW w:type="dxa" w:w="16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26</w:t>
            </w:r>
          </w:p>
        </w:tc>
      </w:tr>
      <w:tr>
        <w:tc>
          <w:tcPr>
            <w:tcW w:type="dxa" w:w="6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Evaluation &amp; Experiments (benchmarks, baseline, agent comparison, real-stream replay, optional LLM)</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70</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85</w:t>
            </w:r>
          </w:p>
        </w:tc>
      </w:tr>
      <w:tr>
        <w:tc>
          <w:tcPr>
            <w:tcW w:type="dxa" w:w="600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Report &amp; Publication Writing</w:t>
            </w:r>
          </w:p>
        </w:tc>
        <w:tc>
          <w:tcPr>
            <w:tcW w:type="dxa" w:w="16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155</w:t>
            </w:r>
          </w:p>
        </w:tc>
        <w:tc>
          <w:tcPr>
            <w:tcW w:type="dxa" w:w="1680"/>
            <w:gridSpan w:val="1"/>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40" w:after="40"/>
              <w:jc w:val="left"/>
            </w:pPr>
            <w:r>
              <w:rPr>
                <w:rFonts w:ascii="Arial" w:cs="Arial" w:eastAsia="Arial" w:hAnsi="Arial"/>
                <w:b w:val="false"/>
                <w:bCs w:val="false"/>
                <w:i w:val="false"/>
                <w:iCs w:val="false"/>
                <w:color w:val="222222"/>
                <w:sz w:val="19"/>
                <w:szCs w:val="19"/>
              </w:rPr>
              <w:t xml:space="preserve">202</w:t>
            </w:r>
          </w:p>
        </w:tc>
      </w:tr>
      <w:tr>
        <w:tc>
          <w:tcPr>
            <w:tcW w:type="dxa" w:w="600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TOTAL (Both Students)</w:t>
            </w:r>
          </w:p>
        </w:tc>
        <w:tc>
          <w:tcPr>
            <w:tcW w:type="dxa" w:w="168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480</w:t>
            </w:r>
          </w:p>
        </w:tc>
        <w:tc>
          <w:tcPr>
            <w:tcW w:type="dxa" w:w="1680"/>
            <w:gridSpan w:val="1"/>
            <w:tcBorders>
              <w:top w:val="single" w:color="CCCCCC" w:sz="1"/>
              <w:left w:val="single" w:color="CCCCCC" w:sz="1"/>
              <w:bottom w:val="single" w:color="CCCCCC" w:sz="1"/>
              <w:right w:val="single" w:color="CCCCCC" w:sz="1"/>
            </w:tcBorders>
            <w:shd w:fill="1B3A5C"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FFFFFF"/>
                <w:sz w:val="19"/>
                <w:szCs w:val="19"/>
              </w:rPr>
              <w:t xml:space="preserve">608</w:t>
            </w:r>
          </w:p>
        </w:tc>
      </w:tr>
      <w:tr>
        <w:tc>
          <w:tcPr>
            <w:tcW w:type="dxa" w:w="600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Per Student</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240</w:t>
            </w:r>
          </w:p>
        </w:tc>
        <w:tc>
          <w:tcPr>
            <w:tcW w:type="dxa" w:w="1680"/>
            <w:gridSpan w:val="1"/>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40" w:after="40"/>
              <w:jc w:val="left"/>
            </w:pPr>
            <w:r>
              <w:rPr>
                <w:rFonts w:ascii="Arial" w:cs="Arial" w:eastAsia="Arial" w:hAnsi="Arial"/>
                <w:b/>
                <w:bCs/>
                <w:i w:val="false"/>
                <w:iCs w:val="false"/>
                <w:color w:val="222222"/>
                <w:sz w:val="19"/>
                <w:szCs w:val="19"/>
              </w:rPr>
              <w:t xml:space="preserve">304</w:t>
            </w:r>
          </w:p>
        </w:tc>
      </w:tr>
    </w:tbl>
    <w:p>
      <w:pPr>
        <w:spacing w:before="120" w:after="120"/>
      </w:pPr>
      <w:r>
        <w:t xml:space="preserve"/>
      </w:r>
    </w:p>
    <w:p>
      <w:pPr>
        <w:pStyle w:val="Heading1"/>
        <w:pBdr>
          <w:bottom w:val="single" w:color="1A7A8A" w:sz="8" w:space="4"/>
        </w:pBdr>
        <w:spacing w:before="340" w:after="160"/>
      </w:pPr>
      <w:r>
        <w:rPr>
          <w:rFonts w:ascii="Arial" w:cs="Arial" w:eastAsia="Arial" w:hAnsi="Arial"/>
          <w:b/>
          <w:bCs/>
          <w:color w:val="1B3A5C"/>
          <w:sz w:val="32"/>
          <w:szCs w:val="32"/>
        </w:rPr>
        <w:t xml:space="preserve">12. Final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
              <w:left w:val="single" w:color="1A7A8A" w:sz="18"/>
              <w:bottom w:val="single" w:color="1A7A8A" w:sz="1"/>
              <w:right w:val="single" w:color="1A7A8A" w:sz="1"/>
            </w:tcBorders>
            <w:shd w:fill="EAF4F6" w:val="clear"/>
            <w:tcMar>
              <w:top w:type="dxa" w:w="130"/>
              <w:left w:type="dxa" w:w="200"/>
              <w:bottom w:type="dxa" w:w="130"/>
              <w:right w:type="dxa" w:w="160"/>
            </w:tcMar>
          </w:tcPr>
          <w:p>
            <w:pPr>
              <w:spacing w:before="0" w:after="80"/>
            </w:pPr>
            <w:r>
              <w:rPr>
                <w:rFonts w:ascii="Arial" w:cs="Arial" w:eastAsia="Arial" w:hAnsi="Arial"/>
                <w:b/>
                <w:bCs/>
                <w:color w:val="1A7A8A"/>
                <w:sz w:val="21"/>
                <w:szCs w:val="21"/>
              </w:rPr>
              <w:t xml:space="preserve">Your Unfair Advantage</w:t>
            </w:r>
          </w:p>
          <w:p>
            <w:pPr>
              <w:spacing w:before="80" w:after="80"/>
              <w:jc w:val="both"/>
            </w:pPr>
            <w:r>
              <w:rPr>
                <w:rFonts w:ascii="Arial" w:cs="Arial" w:eastAsia="Arial" w:hAnsi="Arial"/>
                <w:b w:val="false"/>
                <w:bCs w:val="false"/>
                <w:i w:val="false"/>
                <w:iCs w:val="false"/>
                <w:color w:val="222222"/>
                <w:sz w:val="20"/>
                <w:szCs w:val="20"/>
              </w:rPr>
              <w:t xml:space="preserve">Three of the four papers you cite — Chakraborty, Kothamasu, and Mayilsamy — have zero evaluation sections and no real hardware. Kirubakaran has results but only in the cloud with managed GPU infrastructure. Every benchmark table, every latency graph, every Cohen's Kappa score, and every real-stream replay result you produce is something the cited literature cannot match. That is not a small advantage — it is the entire argument for publication.</w:t>
            </w:r>
          </w:p>
          <w:p>
            <w:pPr>
              <w:spacing w:before="40" w:after="40"/>
            </w:pPr>
            <w:r>
              <w:t xml:space="preserve"/>
            </w:r>
          </w:p>
          <w:p>
            <w:pPr>
              <w:spacing w:before="80" w:after="80"/>
              <w:jc w:val="both"/>
            </w:pPr>
            <w:r>
              <w:rPr>
                <w:rFonts w:ascii="Arial" w:cs="Arial" w:eastAsia="Arial" w:hAnsi="Arial"/>
                <w:b w:val="false"/>
                <w:bCs w:val="false"/>
                <w:i w:val="false"/>
                <w:iCs w:val="false"/>
                <w:color w:val="222222"/>
                <w:sz w:val="20"/>
                <w:szCs w:val="20"/>
              </w:rPr>
              <w:t xml:space="preserve">The Learning Agent specifically strengthens this further. Chakraborty and Kothamasu both describe knowledge accumulation as a defining feature of mature self-healing systems and then provide no implementation. Kirubakaran identifies policy learning as future work. Your Learning Agent, however lightweight, is the implementation all three papers promised and did not deliver.</w:t>
            </w:r>
          </w:p>
          <w:p>
            <w:pPr>
              <w:spacing w:before="40" w:after="40"/>
            </w:pPr>
            <w:r>
              <w:t xml:space="preserve"/>
            </w:r>
          </w:p>
          <w:p>
            <w:pPr>
              <w:spacing w:before="80" w:after="80"/>
              <w:jc w:val="both"/>
            </w:pPr>
            <w:r>
              <w:rPr>
                <w:rFonts w:ascii="Arial" w:cs="Arial" w:eastAsia="Arial" w:hAnsi="Arial"/>
                <w:b/>
                <w:bCs/>
                <w:i w:val="false"/>
                <w:iCs w:val="false"/>
                <w:color w:val="1B3A5C"/>
                <w:sz w:val="20"/>
                <w:szCs w:val="20"/>
              </w:rPr>
              <w:t xml:space="preserve">Freeze the codebase on 31 July. Protect writing time from August onwards. A running, measured, five-anomaly four-agent system with real commodity hardware benchmarks, a baseline comparison, and a real-stream replay result is publishable in MDPI BDCC. Do not sacrifice evaluation completeness for feature additions after the freeze.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8A" w:sz="4" w:space="4"/>
      </w:pBdr>
      <w:spacing w:before="120" w:after="0"/>
      <w:jc w:val="right"/>
    </w:pPr>
    <w:r>
      <w:rPr>
        <w:rFonts w:ascii="Arial" w:cs="Arial" w:eastAsia="Arial" w:hAnsi="Arial"/>
        <w:color w:val="888888"/>
        <w:sz w:val="17"/>
        <w:szCs w:val="17"/>
      </w:rPr>
      <w:t xml:space="preserve">Department of CS&amp;IT, UET Peshawar (Nowshera Campus)  ·  Version 4.0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4"/>
      </w:pBdr>
      <w:spacing w:before="0" w:after="120"/>
    </w:pPr>
    <w:r>
      <w:rPr>
        <w:rFonts w:ascii="Arial" w:cs="Arial" w:eastAsia="Arial" w:hAnsi="Arial"/>
        <w:color w:val="888888"/>
        <w:sz w:val="17"/>
        <w:szCs w:val="17"/>
      </w:rPr>
      <w:t xml:space="preserve">Project Plan v4  ·  Distributed Multi-Agent Coordination for Self-Healing Data Pipelines  ·  Adeel &amp; Asim  ·  UET Peshawar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10"/>
      <w:outlineLvl w:val="1"/>
    </w:pPr>
    <w:rPr>
      <w:rFonts w:ascii="Arial" w:cs="Arial" w:eastAsia="Arial" w:hAnsi="Arial"/>
      <w:b/>
      <w:bCs/>
      <w:color w:val="1A7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2026-03-13T12:44:10.286Z</dcterms:created>
  <dcterms:modified xsi:type="dcterms:W3CDTF">2026-03-13T12:44:10.287Z</dcterms:modified>
</cp:coreProperties>
</file>

<file path=docProps/custom.xml><?xml version="1.0" encoding="utf-8"?>
<Properties xmlns="http://schemas.openxmlformats.org/officeDocument/2006/custom-properties" xmlns:vt="http://schemas.openxmlformats.org/officeDocument/2006/docPropsVTypes"/>
</file>