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FFFFFF" w:sz="4"/>
              <w:left w:val="single" w:color="FFFFFF" w:sz="4"/>
              <w:bottom w:val="single" w:color="FFFFFF" w:sz="4"/>
              <w:right w:val="single" w:color="FFFFFF" w:sz="4"/>
            </w:tcBorders>
            <w:shd w:fill="1F3864" w:val="clear"/>
            <w:tcMar>
              <w:top w:type="dxa" w:w="280"/>
              <w:left w:type="dxa" w:w="360"/>
              <w:bottom w:type="dxa" w:w="280"/>
              <w:right w:type="dxa" w:w="360"/>
            </w:tcMar>
          </w:tcPr>
          <w:p>
            <w:pPr>
              <w:spacing w:after="60" w:before="120"/>
              <w:jc w:val="center"/>
            </w:pPr>
            <w:r>
              <w:rPr>
                <w:rFonts w:ascii="Calibri" w:cs="Calibri" w:eastAsia="Calibri" w:hAnsi="Calibri"/>
                <w:b/>
                <w:bCs/>
                <w:color w:val="FFFFFF"/>
                <w:sz w:val="52"/>
                <w:szCs w:val="52"/>
              </w:rPr>
              <w:t xml:space="preserve">PHASE 0 EVALUATION SUMMARY</w:t>
            </w:r>
          </w:p>
          <w:p>
            <w:pPr>
              <w:spacing w:after="60" w:before="0"/>
              <w:jc w:val="center"/>
            </w:pPr>
            <w:r>
              <w:rPr>
                <w:rFonts w:ascii="Calibri" w:cs="Calibri" w:eastAsia="Calibri" w:hAnsi="Calibri"/>
                <w:color w:val="C9D8EE"/>
                <w:sz w:val="24"/>
                <w:szCs w:val="24"/>
              </w:rPr>
              <w:t xml:space="preserve">LLM Strategy Agent Model Selection for Self-Healing Data Pipelines</w:t>
            </w:r>
          </w:p>
          <w:p>
            <w:pPr>
              <w:spacing w:after="80" w:before="40"/>
              <w:jc w:val="center"/>
            </w:pPr>
            <w:r>
              <w:rPr>
                <w:rFonts w:ascii="Calibri" w:cs="Calibri" w:eastAsia="Calibri" w:hAnsi="Calibri"/>
                <w:color w:val="C9D8EE"/>
                <w:sz w:val="18"/>
                <w:szCs w:val="18"/>
              </w:rPr>
              <w:t xml:space="preserve">Muhammad Adeel &amp; Muhammad Asim  |  Supervisor: Dr. Laeeq Ahmed  |  CS&amp;IT, UET Peshawar — Nowshera</w:t>
            </w:r>
          </w:p>
          <w:p>
            <w:pPr>
              <w:spacing w:after="100" w:before="0"/>
              <w:jc w:val="center"/>
            </w:pPr>
            <w:r>
              <w:rPr>
                <w:rFonts w:ascii="Calibri" w:cs="Calibri" w:eastAsia="Calibri" w:hAnsi="Calibri"/>
                <w:color w:val="C9D8EE"/>
                <w:sz w:val="18"/>
                <w:szCs w:val="18"/>
              </w:rPr>
              <w:t xml:space="preserve">Evaluation Conducted: 25 April 2026  |  Document: May 2026</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1. Evaluation Context</w:t>
      </w:r>
    </w:p>
    <w:p>
      <w:pPr>
        <w:spacing w:after="60" w:before="60"/>
      </w:pPr>
      <w:r>
        <w:rPr>
          <w:rFonts w:ascii="Calibri" w:cs="Calibri" w:eastAsia="Calibri" w:hAnsi="Calibri"/>
          <w:sz w:val="20"/>
          <w:szCs w:val="20"/>
        </w:rPr>
        <w:t xml:space="preserve">Phase 0 of the FYP established the three-node commodity cluster and conducted a systematic LLM evaluation to select the model for the Strategy Agent — the core reasoning component of the self-healing pipeline. The Strategy Agent must consume structured anomaly signals from the Triage Agent and respond with a valid 7-field JSON object for every incident. Model selection was therefore driven entirely by structured output compliance under adversarial conditions, not by raw language quality or benchmark scores.</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100"/>
              <w:left w:type="dxa" w:w="180"/>
              <w:bottom w:type="dxa" w:w="100"/>
              <w:right w:type="dxa" w:w="180"/>
            </w:tcMar>
          </w:tcPr>
          <w:p>
            <w:pPr>
              <w:spacing w:after="60" w:before="60"/>
            </w:pPr>
            <w:r>
              <w:rPr>
                <w:rFonts w:ascii="Calibri" w:cs="Calibri" w:eastAsia="Calibri" w:hAnsi="Calibri"/>
                <w:b/>
                <w:bCs/>
                <w:sz w:val="21"/>
                <w:szCs w:val="21"/>
              </w:rPr>
              <w:t xml:space="preserve">Selection Criterion</w:t>
            </w:r>
            <w:r>
              <w:br/>
            </w:r>
            <w:r>
              <w:rPr>
                <w:rFonts w:ascii="Calibri" w:cs="Calibri" w:eastAsia="Calibri" w:hAnsi="Calibri"/>
                <w:sz w:val="20"/>
                <w:szCs w:val="20"/>
              </w:rPr>
              <w:t xml:space="preserve">The Strategy Agent's output is consumed directly by the Policy Agent — a deterministic Python router with no error recovery. A response that fails JSON parsing or field validation causes a pipeline stall and forces HITL escalation. The hard constraint is therefore: </w:t>
            </w:r>
            <w:r>
              <w:rPr>
                <w:rFonts w:ascii="Calibri" w:cs="Calibri" w:eastAsia="Calibri" w:hAnsi="Calibri"/>
                <w:b/>
                <w:bCs/>
                <w:sz w:val="20"/>
                <w:szCs w:val="20"/>
              </w:rPr>
              <w:t xml:space="preserve">schema validity rate must be high enough for production-viable autonomous operation on commodity hardware.</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1.1 Hardware and Inference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Parameter</w:t>
            </w:r>
          </w:p>
        </w:tc>
        <w:tc>
          <w:tcPr>
            <w:tcW w:type="dxa" w:w="6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Specification</w:t>
            </w:r>
          </w:p>
        </w:tc>
      </w:tr>
      <w:tr>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Inference Node</w:t>
            </w:r>
          </w:p>
        </w:tc>
        <w:tc>
          <w:tcPr>
            <w:tcW w:type="dxa" w:w="6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Node 2 — ai-brain-node (192.168.18.102)</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Hardware</w:t>
            </w:r>
          </w:p>
        </w:tc>
        <w:tc>
          <w:tcPr>
            <w:tcW w:type="dxa" w:w="6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AMD Ryzen 5, 8GB RAM, 256GB NVMe — Ubuntu 24.04 Server (headless)</w:t>
            </w:r>
          </w:p>
        </w:tc>
      </w:tr>
      <w:tr>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Inference Backend</w:t>
            </w:r>
          </w:p>
        </w:tc>
        <w:tc>
          <w:tcPr>
            <w:tcW w:type="dxa" w:w="6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Ollama (all models served locally — no GPU, no cloud API)</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Context Window</w:t>
            </w:r>
          </w:p>
        </w:tc>
        <w:tc>
          <w:tcPr>
            <w:tcW w:type="dxa" w:w="6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num_ctx = 2048 (identical for all models)</w:t>
            </w:r>
          </w:p>
        </w:tc>
      </w:tr>
      <w:tr>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Max Output Tokens</w:t>
            </w:r>
          </w:p>
        </w:tc>
        <w:tc>
          <w:tcPr>
            <w:tcW w:type="dxa" w:w="6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num_predict = 400 (evaluation); increased to 512 for production deployment based on findings</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Network Condition</w:t>
            </w:r>
          </w:p>
        </w:tc>
        <w:tc>
          <w:tcPr>
            <w:tcW w:type="dxa" w:w="6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WiFi (Phase 0 baseline) — Gigabit Ethernet planned for Phase 5 production benchmarks</w:t>
            </w:r>
          </w:p>
        </w:tc>
      </w:tr>
      <w:tr>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Evaluation Date</w:t>
            </w:r>
          </w:p>
        </w:tc>
        <w:tc>
          <w:tcPr>
            <w:tcW w:type="dxa" w:w="6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25 April 2026</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2. Evaluation Design</w:t>
      </w:r>
    </w:p>
    <w:p>
      <w:pPr>
        <w:spacing w:after="60" w:before="60"/>
      </w:pPr>
      <w:r>
        <w:rPr>
          <w:rFonts w:ascii="Calibri" w:cs="Calibri" w:eastAsia="Calibri" w:hAnsi="Calibri"/>
          <w:sz w:val="20"/>
          <w:szCs w:val="20"/>
        </w:rPr>
        <w:t xml:space="preserve">Each model was tested against 30 prompts drawn from 5 anomaly categories across 3 difficulty variants. Only the strict variant results are reported as primary findings — it reflects production-realistic conditions where signals are noisy, categories are ambiguous, and severity labels are at edge-case boundaries.</w:t>
      </w:r>
    </w:p>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2.1 Prompt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Variant</w:t>
            </w:r>
          </w:p>
        </w:tc>
        <w:tc>
          <w:tcPr>
            <w:tcW w:type="dxa" w:w="468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Description</w:t>
            </w:r>
          </w:p>
        </w:tc>
        <w:tc>
          <w:tcPr>
            <w:tcW w:type="dxa" w:w="268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Used as Primary?</w:t>
            </w:r>
          </w:p>
        </w:tc>
      </w:tr>
      <w:tr>
        <w:tc>
          <w:tcPr>
            <w:tcW w:type="dxa" w:w="2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simple</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Clean, unambiguous telemetry. One clear anomaly type per prompt.</w:t>
            </w:r>
          </w:p>
        </w:tc>
        <w:tc>
          <w:tcPr>
            <w:tcW w:type="dxa" w:w="2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No — all models performed acceptably. Not discriminating.</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medium</w:t>
            </w:r>
          </w:p>
        </w:tc>
        <w:tc>
          <w:tcPr>
            <w:tcW w:type="dxa" w:w="4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Moderate noise. Borderline severity values. Some contextual ambiguity.</w:t>
            </w:r>
          </w:p>
        </w:tc>
        <w:tc>
          <w:tcPr>
            <w:tcW w:type="dxa" w:w="2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No — inconsistent results. Not representative of production conditions.</w:t>
            </w:r>
          </w:p>
        </w:tc>
      </w:tr>
      <w:tr>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strict</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Noisy and conflicting signals. Ambiguous categories. Edge-case severity combinations. Multi-component incidents.</w:t>
            </w:r>
          </w:p>
        </w:tc>
        <w:tc>
          <w:tcPr>
            <w:tcW w:type="dxa" w:w="268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E5631"/>
                <w:sz w:val="20"/>
                <w:szCs w:val="20"/>
              </w:rPr>
              <w:t xml:space="preserve">YES — primary evaluation. Reflects real pipeline conditions.</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2.2 Prompt Categories (Strict Variant — 30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Category</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Prompt IDs</w:t>
            </w:r>
          </w:p>
        </w:tc>
        <w:tc>
          <w:tcPr>
            <w:tcW w:type="dxa" w:w="2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Severity Levels Covered</w:t>
            </w:r>
          </w:p>
        </w:tc>
        <w:tc>
          <w:tcPr>
            <w:tcW w:type="dxa" w:w="9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Count</w:t>
            </w:r>
          </w:p>
        </w:tc>
        <w:tc>
          <w:tcPr>
            <w:tcW w:type="dxa" w:w="204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Design Intent</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CPU / Memory Spike</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CPU_01–06</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LOW, MEDIUM, HIGH, CRITICAL</w:t>
            </w:r>
          </w:p>
        </w:tc>
        <w:tc>
          <w:tcPr>
            <w:tcW w:type="dxa" w:w="9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6</w:t>
            </w:r>
          </w:p>
        </w:tc>
        <w:tc>
          <w:tcPr>
            <w:tcW w:type="dxa" w:w="20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Peak resource exhaustion scenarios</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Error Rate Surge (5xx)</w:t>
            </w:r>
          </w:p>
        </w:tc>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ERR_01–06</w:t>
            </w:r>
          </w:p>
        </w:tc>
        <w:tc>
          <w:tcPr>
            <w:tcW w:type="dxa" w:w="2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LOW, MEDIUM, HIGH, CRITICAL</w:t>
            </w:r>
          </w:p>
        </w:tc>
        <w:tc>
          <w:tcPr>
            <w:tcW w:type="dxa" w:w="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6</w:t>
            </w:r>
          </w:p>
        </w:tc>
        <w:tc>
          <w:tcPr>
            <w:tcW w:type="dxa" w:w="204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HTTP failure cascades + 3rd-party API failures</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Throughput Drop / Silent Crash</w:t>
            </w:r>
          </w:p>
        </w:tc>
        <w:tc>
          <w:tcPr>
            <w:tcW w:type="dxa" w:w="1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THR_01–06</w:t>
            </w:r>
          </w:p>
        </w:tc>
        <w:tc>
          <w:tcPr>
            <w:tcW w:type="dxa" w:w="25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LOW, MEDIUM, HIGH, CRITICAL</w:t>
            </w:r>
          </w:p>
        </w:tc>
        <w:tc>
          <w:tcPr>
            <w:tcW w:type="dxa" w:w="9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6</w:t>
            </w:r>
          </w:p>
        </w:tc>
        <w:tc>
          <w:tcPr>
            <w:tcW w:type="dxa" w:w="204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Queue drain, silent consumer crash, cascade stop</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Auth Failure Flood</w:t>
            </w:r>
          </w:p>
        </w:tc>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AUTH_01–06</w:t>
            </w:r>
          </w:p>
        </w:tc>
        <w:tc>
          <w:tcPr>
            <w:tcW w:type="dxa" w:w="2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LOW, MEDIUM, HIGH, CRITICAL</w:t>
            </w:r>
          </w:p>
        </w:tc>
        <w:tc>
          <w:tcPr>
            <w:tcW w:type="dxa" w:w="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6</w:t>
            </w:r>
          </w:p>
        </w:tc>
        <w:tc>
          <w:tcPr>
            <w:tcW w:type="dxa" w:w="204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Brute force, coordinated SSH attacks, admin interface floods</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Schema Change / Data Drift</w:t>
            </w:r>
          </w:p>
        </w:tc>
        <w:tc>
          <w:tcPr>
            <w:tcW w:type="dxa" w:w="1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DRIFT_01–06</w:t>
            </w:r>
          </w:p>
        </w:tc>
        <w:tc>
          <w:tcPr>
            <w:tcW w:type="dxa" w:w="25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LOW, MEDIUM, HIGH</w:t>
            </w:r>
          </w:p>
        </w:tc>
        <w:tc>
          <w:tcPr>
            <w:tcW w:type="dxa" w:w="9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6</w:t>
            </w:r>
          </w:p>
        </w:tc>
        <w:tc>
          <w:tcPr>
            <w:tcW w:type="dxa" w:w="204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Missing fields, type mutations, PSI distribution shift</w:t>
            </w:r>
          </w:p>
        </w:tc>
      </w:tr>
      <w:tr>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TOTAL</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30 prompts</w:t>
            </w:r>
          </w:p>
        </w:tc>
        <w:tc>
          <w:tcPr>
            <w:tcW w:type="dxa" w:w="2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FFFFFF"/>
                <w:sz w:val="20"/>
                <w:szCs w:val="20"/>
              </w:rPr>
              <w:t xml:space="preserve">All 4 severity levels</w:t>
            </w:r>
          </w:p>
        </w:tc>
        <w:tc>
          <w:tcPr>
            <w:tcW w:type="dxa" w:w="9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30</w:t>
            </w:r>
          </w:p>
        </w:tc>
        <w:tc>
          <w:tcPr>
            <w:tcW w:type="dxa" w:w="204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FFFFFF"/>
                <w:sz w:val="20"/>
                <w:szCs w:val="20"/>
              </w:rPr>
              <w:t xml:space="preserve">5 anomaly categories × 6 variants each</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2.3 Output Schema and Validation Rules</w:t>
      </w:r>
    </w:p>
    <w:p>
      <w:pPr>
        <w:spacing w:after="60" w:before="60"/>
      </w:pPr>
      <w:r>
        <w:rPr>
          <w:rFonts w:ascii="Calibri" w:cs="Calibri" w:eastAsia="Calibri" w:hAnsi="Calibri"/>
          <w:sz w:val="20"/>
          <w:szCs w:val="20"/>
        </w:rPr>
        <w:t xml:space="preserve">Every response was parsed and validated against the following 7-field schema. A response is schema_valid = True only if all six validation checks pass. JSON parse failure automatically fails all checks.</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Field</w:t>
            </w:r>
          </w:p>
        </w:tc>
        <w:tc>
          <w:tcPr>
            <w:tcW w:type="dxa" w:w="3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Type / Constraint</w:t>
            </w:r>
          </w:p>
        </w:tc>
        <w:tc>
          <w:tcPr>
            <w:tcW w:type="dxa" w:w="39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Validation Rule Applied</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anomaly_type</w:t>
            </w:r>
          </w:p>
        </w:tc>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string</w:t>
            </w:r>
          </w:p>
        </w:tc>
        <w:tc>
          <w:tcPr>
            <w:tcW w:type="dxa" w:w="39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Must be present and non-empty</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severity</w:t>
            </w:r>
          </w:p>
        </w:tc>
        <w:tc>
          <w:tcPr>
            <w:tcW w:type="dxa" w:w="3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enum: LOW | MEDIUM | HIGH | CRITICAL</w:t>
            </w:r>
          </w:p>
        </w:tc>
        <w:tc>
          <w:tcPr>
            <w:tcW w:type="dxa" w:w="3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Value must be exactly one of the 4 valid strings</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affected_component</w:t>
            </w:r>
          </w:p>
        </w:tc>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string</w:t>
            </w:r>
          </w:p>
        </w:tc>
        <w:tc>
          <w:tcPr>
            <w:tcW w:type="dxa" w:w="39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Must be present and non-empty</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recommended_actions</w:t>
            </w:r>
          </w:p>
        </w:tc>
        <w:tc>
          <w:tcPr>
            <w:tcW w:type="dxa" w:w="3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list of exactly 3 strings</w:t>
            </w:r>
          </w:p>
        </w:tc>
        <w:tc>
          <w:tcPr>
            <w:tcW w:type="dxa" w:w="3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Must be a Python list; len == 3</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confidence</w:t>
            </w:r>
          </w:p>
        </w:tc>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float ∈ [0.0, 1.0]</w:t>
            </w:r>
          </w:p>
        </w:tc>
        <w:tc>
          <w:tcPr>
            <w:tcW w:type="dxa" w:w="39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isinstance(float or int) AND 0.0 ≤ value ≤ 1.0</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risk_tier</w:t>
            </w:r>
          </w:p>
        </w:tc>
        <w:tc>
          <w:tcPr>
            <w:tcW w:type="dxa" w:w="3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enum: LOW | HIGH</w:t>
            </w:r>
          </w:p>
        </w:tc>
        <w:tc>
          <w:tcPr>
            <w:tcW w:type="dxa" w:w="3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Must be one of {LOW, HIGH} AND must correctly map from severity (LOW/MEDIUM→LOW, HIGH/CRITICAL→HIGH)</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reasoning</w:t>
            </w:r>
          </w:p>
        </w:tc>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string (one sentence)</w:t>
            </w:r>
          </w:p>
        </w:tc>
        <w:tc>
          <w:tcPr>
            <w:tcW w:type="dxa" w:w="39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Must be present and non-empty</w:t>
            </w:r>
          </w:p>
        </w:tc>
      </w:tr>
      <w:tr>
        <w:tc>
          <w:tcPr>
            <w:tcW w:type="dxa" w:w="24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Extra fields rule</w:t>
            </w:r>
          </w:p>
        </w:tc>
        <w:tc>
          <w:tcPr>
            <w:tcW w:type="dxa" w:w="30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No keys beyond the 7 above</w:t>
            </w:r>
          </w:p>
        </w:tc>
        <w:tc>
          <w:tcPr>
            <w:tcW w:type="dxa" w:w="39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Any additional key in the response object fails schema validation regardless of other checks</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3. Models Under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Model</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Parameters</w:t>
            </w:r>
          </w:p>
        </w:tc>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Architecture Type</w:t>
            </w:r>
          </w:p>
        </w:tc>
        <w:tc>
          <w:tcPr>
            <w:tcW w:type="dxa" w:w="19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RAM at Runtime (est.)</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Ollama Tag</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deepseek-r1:1.5b</w:t>
            </w:r>
          </w:p>
        </w:tc>
        <w:tc>
          <w:tcPr>
            <w:tcW w:type="dxa" w:w="1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1.5B</w:t>
            </w:r>
          </w:p>
        </w:tc>
        <w:tc>
          <w:tcPr>
            <w:tcW w:type="dxa" w:w="22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Reasoning / Chain-of-Thought</w:t>
            </w:r>
          </w:p>
        </w:tc>
        <w:tc>
          <w:tcPr>
            <w:tcW w:type="dxa" w:w="19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~0.9 GB</w:t>
            </w:r>
          </w:p>
        </w:tc>
        <w:tc>
          <w:tcPr>
            <w:tcW w:type="dxa" w:w="1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deepseek-r1:1.5b</w:t>
            </w:r>
          </w:p>
        </w:tc>
      </w:tr>
      <w:tr>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E5631"/>
                <w:sz w:val="20"/>
                <w:szCs w:val="20"/>
              </w:rPr>
              <w:t xml:space="preserve">qwen3:1.7b</w:t>
            </w:r>
          </w:p>
        </w:tc>
        <w:tc>
          <w:tcPr>
            <w:tcW w:type="dxa" w:w="14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1.7B</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Instruction-following / JSON</w:t>
            </w:r>
          </w:p>
        </w:tc>
        <w:tc>
          <w:tcPr>
            <w:tcW w:type="dxa" w:w="19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~1.1 GB</w:t>
            </w:r>
          </w:p>
        </w:tc>
        <w:tc>
          <w:tcPr>
            <w:tcW w:type="dxa" w:w="16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qwen3:1.7b</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phi4-mini:latest</w:t>
            </w:r>
          </w:p>
        </w:tc>
        <w:tc>
          <w:tcPr>
            <w:tcW w:type="dxa" w:w="1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~3.8B</w:t>
            </w:r>
          </w:p>
        </w:tc>
        <w:tc>
          <w:tcPr>
            <w:tcW w:type="dxa" w:w="22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General instruction-following</w:t>
            </w:r>
          </w:p>
        </w:tc>
        <w:tc>
          <w:tcPr>
            <w:tcW w:type="dxa" w:w="19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~2.6 GB</w:t>
            </w:r>
          </w:p>
        </w:tc>
        <w:tc>
          <w:tcPr>
            <w:tcW w:type="dxa" w:w="1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phi4-mini:latest</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5A11" w:sz="4"/>
              <w:left w:val="thick" w:color="C55A11" w:sz="12"/>
              <w:bottom w:val="single" w:color="C55A11" w:sz="4"/>
              <w:right w:val="single" w:color="C55A11" w:sz="4"/>
            </w:tcBorders>
            <w:shd w:fill="FCE4D6"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Note: </w:t>
            </w:r>
            <w:r>
              <w:rPr>
                <w:rFonts w:ascii="Calibri" w:cs="Calibri" w:eastAsia="Calibri" w:hAnsi="Calibri"/>
                <w:sz w:val="20"/>
                <w:szCs w:val="20"/>
              </w:rPr>
              <w:t xml:space="preserve">All three models were evaluated under identical conditions — same hardware, same prompt set, same Ollama configuration (num_ctx=2048, num_predict=400). The phi4-mini:reasoning variant was explicitly excluded prior to this evaluation because chain-of-thought output was shown to structurally prevent valid JSON generation. deepseek-r1:1.5b is itself a reasoning-oriented model and exhibits the same failure pattern.</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4. Strict Variant Results — Per-Model</w:t>
      </w:r>
    </w:p>
    <w:p>
      <w:pPr>
        <w:spacing w:after="60" w:before="60"/>
      </w:pPr>
      <w:r>
        <w:rPr>
          <w:rFonts w:ascii="Calibri" w:cs="Calibri" w:eastAsia="Calibri" w:hAnsi="Calibri"/>
          <w:sz w:val="20"/>
          <w:szCs w:val="20"/>
        </w:rPr>
        <w:t xml:space="preserve">The following three tables present the complete quantitative results for each model on the strict prompt variant. These tables are formatted for direct inclusion in the paper's evaluation section.</w:t>
      </w:r>
    </w:p>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Table 1 — deepseek-r1:1.5b (Strict Variant)</w:t>
      </w:r>
    </w:p>
    <w:p>
      <w:pPr>
        <w:spacing w:after="60" w:before="60"/>
      </w:pPr>
      <w:r>
        <w:rPr>
          <w:rFonts w:ascii="Calibri" w:cs="Calibri" w:eastAsia="Calibri" w:hAnsi="Calibri"/>
          <w:color w:val="595959"/>
          <w:sz w:val="20"/>
          <w:szCs w:val="20"/>
        </w:rPr>
        <w:t xml:space="preserve">Run tag: deepseek-r1-1.5b_strict_20260425_121224</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60"/>
            <w:gridSpan w:val="2"/>
            <w:tcBorders>
              <w:top w:val="single" w:color="AAAAAA" w:sz="4"/>
              <w:left w:val="single" w:color="AAAAAA" w:sz="4"/>
              <w:bottom w:val="single" w:color="AAAAAA" w:sz="4"/>
              <w:right w:val="single" w:color="AAAAAA" w:sz="4"/>
            </w:tcBorders>
            <w:shd w:fill="1C3557" w:val="clear"/>
            <w:tcMar>
              <w:top w:type="dxa" w:w="80"/>
              <w:left w:type="dxa" w:w="120"/>
              <w:bottom w:type="dxa" w:w="80"/>
              <w:right w:type="dxa" w:w="120"/>
            </w:tcMar>
            <w:vAlign w:val="center"/>
          </w:tcPr>
          <w:p>
            <w:pPr>
              <w:spacing w:after="50" w:before="50"/>
              <w:jc w:val="center"/>
            </w:pPr>
            <w:r>
              <w:rPr>
                <w:rFonts w:ascii="Calibri" w:cs="Calibri" w:eastAsia="Calibri" w:hAnsi="Calibri"/>
                <w:b/>
                <w:bCs/>
                <w:color w:val="FFFFFF"/>
                <w:sz w:val="20"/>
                <w:szCs w:val="20"/>
              </w:rPr>
              <w:t xml:space="preserve">deepseek-r1:1.5b — Strict Variant Results</w:t>
            </w:r>
          </w:p>
        </w:tc>
      </w:tr>
      <w:tr>
        <w:tc>
          <w:tcPr>
            <w:tcW w:type="dxa" w:w="5000"/>
            <w:gridSpan w:val="1"/>
            <w:tcBorders>
              <w:top w:val="single" w:color="AAAAAA" w:sz="4"/>
              <w:left w:val="single" w:color="AAAAAA" w:sz="4"/>
              <w:bottom w:val="single" w:color="AAAAAA" w:sz="4"/>
              <w:right w:val="single" w:color="AAAAAA" w:sz="4"/>
            </w:tcBorders>
            <w:shd w:fill="2C477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Metric</w:t>
            </w:r>
          </w:p>
        </w:tc>
        <w:tc>
          <w:tcPr>
            <w:tcW w:type="dxa" w:w="4360"/>
            <w:gridSpan w:val="1"/>
            <w:tcBorders>
              <w:top w:val="single" w:color="AAAAAA" w:sz="4"/>
              <w:left w:val="single" w:color="AAAAAA" w:sz="4"/>
              <w:bottom w:val="single" w:color="AAAAAA" w:sz="4"/>
              <w:right w:val="single" w:color="AAAAAA" w:sz="4"/>
            </w:tcBorders>
            <w:shd w:fill="2C477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Value</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Total prompts evaluated</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30</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JSON valid count</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bCs/>
                <w:color w:val="922B21"/>
                <w:sz w:val="20"/>
                <w:szCs w:val="20"/>
              </w:rPr>
              <w:t xml:space="preserve">2 / 30</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JSON valid %</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bCs/>
                <w:color w:val="922B21"/>
                <w:sz w:val="20"/>
                <w:szCs w:val="20"/>
              </w:rPr>
              <w:t xml:space="preserve">6.7%</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Schema valid count</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bCs/>
                <w:color w:val="922B21"/>
                <w:sz w:val="20"/>
                <w:szCs w:val="20"/>
              </w:rPr>
              <w:t xml:space="preserve">0 / 30</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Schema valid %</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bCs/>
                <w:color w:val="922B21"/>
                <w:sz w:val="20"/>
                <w:szCs w:val="20"/>
              </w:rPr>
              <w:t xml:space="preserve">0.0%</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Risk tier — LOW count</w:t>
            </w:r>
          </w:p>
        </w:tc>
        <w:tc>
          <w:tcPr>
            <w:tcW w:type="dxa" w:w="4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Risk tier — HIGH count</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Risk tier — MISSING / unparseable</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29</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Average response time (s)</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19.69 s</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Fastest response</w:t>
            </w:r>
          </w:p>
        </w:tc>
        <w:tc>
          <w:tcPr>
            <w:tcW w:type="dxa" w:w="4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14.03 s  (CPU_05)</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Slowest response</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23.18 s  (CPU_01)</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Average tokens / second</w:t>
            </w:r>
          </w:p>
        </w:tc>
        <w:tc>
          <w:tcPr>
            <w:tcW w:type="dxa" w:w="4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21.03 tok/s</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Fastest tokens / second</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21.36 tok/s  (CPU_05)</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Slowest tokens / second</w:t>
            </w:r>
          </w:p>
        </w:tc>
        <w:tc>
          <w:tcPr>
            <w:tcW w:type="dxa" w:w="4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20.47 tok/s  (ERR_02)</w:t>
            </w:r>
          </w:p>
        </w:tc>
      </w:tr>
      <w:tr>
        <w:tc>
          <w:tcPr>
            <w:tcW w:type="dxa" w:w="5000"/>
            <w:gridSpan w:val="1"/>
            <w:tcBorders>
              <w:top w:val="single" w:color="AAAAAA" w:sz="4"/>
              <w:left w:val="single" w:color="AAAAAA" w:sz="4"/>
              <w:bottom w:val="single" w:color="AAAAAA" w:sz="4"/>
              <w:right w:val="single" w:color="AAAAAA" w:sz="4"/>
            </w:tcBorders>
            <w:shd w:fill="922B2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PRIMARY FINDING</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Fundamentally incompatible with the Strategy Agent role. 0% schema validity means zero usable outputs for the Policy Agent. The CoT reasoning architecture produces narrative output that prevents valid JSON closure.</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Table 2 — qwen3:1.7b (Strict Variant)</w:t>
      </w:r>
    </w:p>
    <w:p>
      <w:pPr>
        <w:spacing w:after="60" w:before="60"/>
      </w:pPr>
      <w:r>
        <w:rPr>
          <w:rFonts w:ascii="Calibri" w:cs="Calibri" w:eastAsia="Calibri" w:hAnsi="Calibri"/>
          <w:color w:val="595959"/>
          <w:sz w:val="20"/>
          <w:szCs w:val="20"/>
        </w:rPr>
        <w:t xml:space="preserve">Run tag: qwen3-1.7b_strict_20260425_115826</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60"/>
            <w:gridSpan w:val="2"/>
            <w:tcBorders>
              <w:top w:val="single" w:color="AAAAAA" w:sz="4"/>
              <w:left w:val="single" w:color="AAAAAA" w:sz="4"/>
              <w:bottom w:val="single" w:color="AAAAAA" w:sz="4"/>
              <w:right w:val="single" w:color="AAAAAA" w:sz="4"/>
            </w:tcBorders>
            <w:shd w:fill="1E5631" w:val="clear"/>
            <w:tcMar>
              <w:top w:type="dxa" w:w="80"/>
              <w:left w:type="dxa" w:w="120"/>
              <w:bottom w:type="dxa" w:w="80"/>
              <w:right w:type="dxa" w:w="120"/>
            </w:tcMar>
            <w:vAlign w:val="center"/>
          </w:tcPr>
          <w:p>
            <w:pPr>
              <w:spacing w:after="50" w:before="50"/>
              <w:jc w:val="center"/>
            </w:pPr>
            <w:r>
              <w:rPr>
                <w:rFonts w:ascii="Calibri" w:cs="Calibri" w:eastAsia="Calibri" w:hAnsi="Calibri"/>
                <w:b/>
                <w:bCs/>
                <w:color w:val="FFFFFF"/>
                <w:sz w:val="20"/>
                <w:szCs w:val="20"/>
              </w:rPr>
              <w:t xml:space="preserve">qwen3:1.7b — Strict Variant Results</w:t>
            </w:r>
          </w:p>
        </w:tc>
      </w:tr>
      <w:tr>
        <w:tc>
          <w:tcPr>
            <w:tcW w:type="dxa" w:w="5000"/>
            <w:gridSpan w:val="1"/>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Metric</w:t>
            </w:r>
          </w:p>
        </w:tc>
        <w:tc>
          <w:tcPr>
            <w:tcW w:type="dxa" w:w="4360"/>
            <w:gridSpan w:val="1"/>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Value</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Total prompts evaluated</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30</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JSON valid count</w:t>
            </w:r>
          </w:p>
        </w:tc>
        <w:tc>
          <w:tcPr>
            <w:tcW w:type="dxa" w:w="43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E5631"/>
                <w:sz w:val="20"/>
                <w:szCs w:val="20"/>
              </w:rPr>
              <w:t xml:space="preserve">29 / 30</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JSON valid %</w:t>
            </w:r>
          </w:p>
        </w:tc>
        <w:tc>
          <w:tcPr>
            <w:tcW w:type="dxa" w:w="43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E5631"/>
                <w:sz w:val="20"/>
                <w:szCs w:val="20"/>
              </w:rPr>
              <w:t xml:space="preserve">96.7%</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Schema valid count</w:t>
            </w:r>
          </w:p>
        </w:tc>
        <w:tc>
          <w:tcPr>
            <w:tcW w:type="dxa" w:w="43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E5631"/>
                <w:sz w:val="20"/>
                <w:szCs w:val="20"/>
              </w:rPr>
              <w:t xml:space="preserve">27 / 30</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Schema valid %</w:t>
            </w:r>
          </w:p>
        </w:tc>
        <w:tc>
          <w:tcPr>
            <w:tcW w:type="dxa" w:w="43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E5631"/>
                <w:sz w:val="20"/>
                <w:szCs w:val="20"/>
              </w:rPr>
              <w:t xml:space="preserve">90.0%</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Risk tier — LOW count</w:t>
            </w:r>
          </w:p>
        </w:tc>
        <w:tc>
          <w:tcPr>
            <w:tcW w:type="dxa" w:w="4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11</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Risk tier — HIGH count</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18</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Risk tier — LOW : HIGH ratio</w:t>
            </w:r>
          </w:p>
        </w:tc>
        <w:tc>
          <w:tcPr>
            <w:tcW w:type="dxa" w:w="43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11 : 18  (37% LOW, 60% HIGH, 3% unparseable)</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Average response time (s)</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20.19 s</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Fastest response</w:t>
            </w:r>
          </w:p>
        </w:tc>
        <w:tc>
          <w:tcPr>
            <w:tcW w:type="dxa" w:w="4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15.66 s  (DRIFT_01)</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Slowest response</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25.57 s  (CPU_01)</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Average tokens / second</w:t>
            </w:r>
          </w:p>
        </w:tc>
        <w:tc>
          <w:tcPr>
            <w:tcW w:type="dxa" w:w="4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16.71 tok/s</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Fastest tokens / second</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16.90 tok/s  (CPU_05)</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Slowest tokens / second</w:t>
            </w:r>
          </w:p>
        </w:tc>
        <w:tc>
          <w:tcPr>
            <w:tcW w:type="dxa" w:w="4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16.55 tok/s  (THR_06)</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Failure breakdown (3 non-passing)</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CPU_03: extra fields echoed from input  |  AUTH_03: extra fields echoed  |  THR_06: JSON truncated at token limit (num_predict=400 too low)</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Estimated schema validity with fixes applied</w:t>
            </w:r>
          </w:p>
        </w:tc>
        <w:tc>
          <w:tcPr>
            <w:tcW w:type="dxa" w:w="43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E5631"/>
                <w:sz w:val="20"/>
                <w:szCs w:val="20"/>
              </w:rPr>
              <w:t xml:space="preserve">30 / 30 (100%) — both failure types have confirmed engineering fixes</w:t>
            </w:r>
          </w:p>
        </w:tc>
      </w:tr>
      <w:tr>
        <w:tc>
          <w:tcPr>
            <w:tcW w:type="dxa" w:w="5000"/>
            <w:gridSpan w:val="1"/>
            <w:tcBorders>
              <w:top w:val="single" w:color="AAAAAA" w:sz="4"/>
              <w:left w:val="single" w:color="AAAAAA" w:sz="4"/>
              <w:bottom w:val="single" w:color="AAAAAA" w:sz="4"/>
              <w:right w:val="single" w:color="AAAAAA" w:sz="4"/>
            </w:tcBorders>
            <w:shd w:fill="1E563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PRIMARY FINDING</w:t>
            </w:r>
          </w:p>
        </w:tc>
        <w:tc>
          <w:tcPr>
            <w:tcW w:type="dxa" w:w="43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Selected model for the Strategy Agent. Only candidate meeting the schema validity hard constraint. Calibrated severity-to-action mapping, domain-aware reasoning, and balanced risk tier distribution confirmed across all 5 anomaly categories.</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Table 3 — phi4-mini:latest (Strict Variant)</w:t>
      </w:r>
    </w:p>
    <w:p>
      <w:pPr>
        <w:spacing w:after="60" w:before="60"/>
      </w:pPr>
      <w:r>
        <w:rPr>
          <w:rFonts w:ascii="Calibri" w:cs="Calibri" w:eastAsia="Calibri" w:hAnsi="Calibri"/>
          <w:color w:val="595959"/>
          <w:sz w:val="20"/>
          <w:szCs w:val="20"/>
        </w:rPr>
        <w:t xml:space="preserve">Run tag: phi4-mini-latest_strict_20260425_070427</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60"/>
            <w:gridSpan w:val="2"/>
            <w:tcBorders>
              <w:top w:val="single" w:color="AAAAAA" w:sz="4"/>
              <w:left w:val="single" w:color="AAAAAA" w:sz="4"/>
              <w:bottom w:val="single" w:color="AAAAAA" w:sz="4"/>
              <w:right w:val="single" w:color="AAAAAA" w:sz="4"/>
            </w:tcBorders>
            <w:shd w:fill="6D4C00" w:val="clear"/>
            <w:tcMar>
              <w:top w:type="dxa" w:w="80"/>
              <w:left w:type="dxa" w:w="120"/>
              <w:bottom w:type="dxa" w:w="80"/>
              <w:right w:type="dxa" w:w="120"/>
            </w:tcMar>
            <w:vAlign w:val="center"/>
          </w:tcPr>
          <w:p>
            <w:pPr>
              <w:spacing w:after="50" w:before="50"/>
              <w:jc w:val="center"/>
            </w:pPr>
            <w:r>
              <w:rPr>
                <w:rFonts w:ascii="Calibri" w:cs="Calibri" w:eastAsia="Calibri" w:hAnsi="Calibri"/>
                <w:b/>
                <w:bCs/>
                <w:color w:val="FFFFFF"/>
                <w:sz w:val="20"/>
                <w:szCs w:val="20"/>
              </w:rPr>
              <w:t xml:space="preserve">phi4-mini:latest — Strict Variant Results</w:t>
            </w:r>
          </w:p>
        </w:tc>
      </w:tr>
      <w:tr>
        <w:tc>
          <w:tcPr>
            <w:tcW w:type="dxa" w:w="5000"/>
            <w:gridSpan w:val="1"/>
            <w:tcBorders>
              <w:top w:val="single" w:color="AAAAAA" w:sz="4"/>
              <w:left w:val="single" w:color="AAAAAA" w:sz="4"/>
              <w:bottom w:val="single" w:color="AAAAAA" w:sz="4"/>
              <w:right w:val="single" w:color="AAAAAA" w:sz="4"/>
            </w:tcBorders>
            <w:shd w:fill="8B620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Metric</w:t>
            </w:r>
          </w:p>
        </w:tc>
        <w:tc>
          <w:tcPr>
            <w:tcW w:type="dxa" w:w="4360"/>
            <w:gridSpan w:val="1"/>
            <w:tcBorders>
              <w:top w:val="single" w:color="AAAAAA" w:sz="4"/>
              <w:left w:val="single" w:color="AAAAAA" w:sz="4"/>
              <w:bottom w:val="single" w:color="AAAAAA" w:sz="4"/>
              <w:right w:val="single" w:color="AAAAAA" w:sz="4"/>
            </w:tcBorders>
            <w:shd w:fill="8B620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Value</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Total prompts evaluated</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30</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JSON valid count</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bCs/>
                <w:color w:val="922B21"/>
                <w:sz w:val="20"/>
                <w:szCs w:val="20"/>
              </w:rPr>
              <w:t xml:space="preserve">9 / 30</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JSON valid %</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bCs/>
                <w:color w:val="922B21"/>
                <w:sz w:val="20"/>
                <w:szCs w:val="20"/>
              </w:rPr>
              <w:t xml:space="preserve">30.0%</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Schema valid count</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bCs/>
                <w:color w:val="922B21"/>
                <w:sz w:val="20"/>
                <w:szCs w:val="20"/>
              </w:rPr>
              <w:t xml:space="preserve">2 / 30</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Schema valid %</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bCs/>
                <w:color w:val="922B21"/>
                <w:sz w:val="20"/>
                <w:szCs w:val="20"/>
              </w:rPr>
              <w:t xml:space="preserve">6.7%</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Risk tier — LOW count</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922B21"/>
                <w:sz w:val="20"/>
                <w:szCs w:val="20"/>
              </w:rPr>
              <w:t xml:space="preserve">0  ← systematic calibration failure</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Risk tier — HIGH count</w:t>
            </w:r>
          </w:p>
        </w:tc>
        <w:tc>
          <w:tcPr>
            <w:tcW w:type="dxa" w:w="43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20"/>
                <w:szCs w:val="20"/>
              </w:rPr>
              <w:t xml:space="preserve">9  (100% of parseable responses)</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Risk tier — LOW : HIGH ratio</w:t>
            </w:r>
          </w:p>
        </w:tc>
        <w:tc>
          <w:tcPr>
            <w:tcW w:type="dxa" w:w="43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bCs/>
                <w:color w:val="922B21"/>
                <w:sz w:val="20"/>
                <w:szCs w:val="20"/>
              </w:rPr>
              <w:t xml:space="preserve">0 : 9  (0% LOW — ALL responses escalated to HIGH)</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Average response time (s)</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13.47 s  (fastest of three models)</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Fastest response</w:t>
            </w:r>
          </w:p>
        </w:tc>
        <w:tc>
          <w:tcPr>
            <w:tcW w:type="dxa" w:w="4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9.50 s  (AUTH_01)</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Slowest response</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17.43 s  (CPU_01)</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Average tokens / second</w:t>
            </w:r>
          </w:p>
        </w:tc>
        <w:tc>
          <w:tcPr>
            <w:tcW w:type="dxa" w:w="4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8.56 tok/s  (slowest of three models)</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Fastest tokens / second</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8.62 tok/s  (AUTH_01)</w:t>
            </w:r>
          </w:p>
        </w:tc>
      </w:tr>
      <w:tr>
        <w:tc>
          <w:tcPr>
            <w:tcW w:type="dxa" w:w="5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Slowest tokens / second</w:t>
            </w:r>
          </w:p>
        </w:tc>
        <w:tc>
          <w:tcPr>
            <w:tcW w:type="dxa" w:w="4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8.51 tok/s  (THR_04)</w:t>
            </w:r>
          </w:p>
        </w:tc>
      </w:tr>
      <w:tr>
        <w:tc>
          <w:tcPr>
            <w:tcW w:type="dxa" w:w="5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Speed advantage over selected model</w:t>
            </w:r>
          </w:p>
        </w:tc>
        <w:tc>
          <w:tcPr>
            <w:tcW w:type="dxa" w:w="4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33% faster average response time vs. qwen3:1.7b — operationally irrelevant below schema validity threshold</w:t>
            </w:r>
          </w:p>
        </w:tc>
      </w:tr>
      <w:tr>
        <w:tc>
          <w:tcPr>
            <w:tcW w:type="dxa" w:w="50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PRIMARY FINDING</w:t>
            </w:r>
          </w:p>
        </w:tc>
        <w:tc>
          <w:tcPr>
            <w:tcW w:type="dxa" w:w="43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Rejected. 6.7% schema validity is not production-viable. 100% HIGH risk tier rate (0 LOW classifications across all parseable responses) represents a systematic calibration failure that would eliminate autonomous pipeline recovery entirely by routing every incident to HITL.</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5. Head-to-Head Comparison</w:t>
      </w:r>
    </w:p>
    <w:p>
      <w:pPr>
        <w:spacing w:after="60" w:before="60"/>
      </w:pPr>
      <w:r>
        <w:rPr>
          <w:rFonts w:ascii="Calibri" w:cs="Calibri" w:eastAsia="Calibri" w:hAnsi="Calibri"/>
          <w:sz w:val="20"/>
          <w:szCs w:val="20"/>
        </w:rPr>
        <w:t xml:space="preserve">The following table consolidates all primary metrics across the three models. This is the paper-ready comparison table for the model selection section.</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Metric</w:t>
            </w:r>
          </w:p>
        </w:tc>
        <w:tc>
          <w:tcPr>
            <w:tcW w:type="dxa" w:w="2200"/>
            <w:gridSpan w:val="1"/>
            <w:tcBorders>
              <w:top w:val="single" w:color="AAAAAA" w:sz="4"/>
              <w:left w:val="single" w:color="AAAAAA" w:sz="4"/>
              <w:bottom w:val="single" w:color="AAAAAA" w:sz="4"/>
              <w:right w:val="single" w:color="AAAAAA" w:sz="4"/>
            </w:tcBorders>
            <w:shd w:fill="7B1A1A"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deepseek-r1:1.5b</w:t>
            </w:r>
          </w:p>
        </w:tc>
        <w:tc>
          <w:tcPr>
            <w:tcW w:type="dxa" w:w="2200"/>
            <w:gridSpan w:val="1"/>
            <w:tcBorders>
              <w:top w:val="single" w:color="AAAAAA" w:sz="4"/>
              <w:left w:val="single" w:color="AAAAAA" w:sz="4"/>
              <w:bottom w:val="single" w:color="AAAAAA" w:sz="4"/>
              <w:right w:val="single" w:color="AAAAAA" w:sz="4"/>
            </w:tcBorders>
            <w:shd w:fill="1E563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qwen3:1.7b ✓ SELECTED</w:t>
            </w:r>
          </w:p>
        </w:tc>
        <w:tc>
          <w:tcPr>
            <w:tcW w:type="dxa" w:w="2360"/>
            <w:gridSpan w:val="1"/>
            <w:tcBorders>
              <w:top w:val="single" w:color="AAAAAA" w:sz="4"/>
              <w:left w:val="single" w:color="AAAAAA" w:sz="4"/>
              <w:bottom w:val="single" w:color="AAAAAA" w:sz="4"/>
              <w:right w:val="single" w:color="AAAAAA" w:sz="4"/>
            </w:tcBorders>
            <w:shd w:fill="6D4C0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phi4-mini:latest</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JSON Valid %</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6.7% 🔴</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96.7% 🟢</w:t>
            </w:r>
          </w:p>
        </w:tc>
        <w:tc>
          <w:tcPr>
            <w:tcW w:type="dxa" w:w="2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30.0% 🟡</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Schema Valid %</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0.0% 🔴</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90.0% 🟢</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6.7% 🔴</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Risk Tier LOW count</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 🔴</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11 🟢</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 🔴</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Risk Tier HIGH count</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 🔴</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18 🟢</w:t>
            </w:r>
          </w:p>
        </w:tc>
        <w:tc>
          <w:tcPr>
            <w:tcW w:type="dxa" w:w="2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9 ⚠️</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LOW : HIGH ratio</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 : 0 🔴</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11 : 18 🟢</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 : 9 🔴</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Avg response time</w:t>
            </w:r>
          </w:p>
        </w:tc>
        <w:tc>
          <w:tcPr>
            <w:tcW w:type="dxa" w:w="2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19.69 s</w:t>
            </w:r>
          </w:p>
        </w:tc>
        <w:tc>
          <w:tcPr>
            <w:tcW w:type="dxa" w:w="2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20.19 s</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13.47 s 🟢</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Fastest response</w:t>
            </w:r>
          </w:p>
        </w:tc>
        <w:tc>
          <w:tcPr>
            <w:tcW w:type="dxa" w:w="2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14.03 s</w:t>
            </w:r>
          </w:p>
        </w:tc>
        <w:tc>
          <w:tcPr>
            <w:tcW w:type="dxa" w:w="2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15.66 s</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9.50 s 🟢</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Slowest response</w:t>
            </w:r>
          </w:p>
        </w:tc>
        <w:tc>
          <w:tcPr>
            <w:tcW w:type="dxa" w:w="2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23.18 s</w:t>
            </w:r>
          </w:p>
        </w:tc>
        <w:tc>
          <w:tcPr>
            <w:tcW w:type="dxa" w:w="2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25.57 s</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17.43 s 🟢</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Avg tokens / second</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21.03 🟢</w:t>
            </w:r>
          </w:p>
        </w:tc>
        <w:tc>
          <w:tcPr>
            <w:tcW w:type="dxa" w:w="2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16.71</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8.56 🔴</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Est. RAM (4-bit)</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~0.9 GB 🟢</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~1.1 GB 🟢</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~2.6 GB 🔴</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Viable for production?</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NO 🔴</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YES 🟢</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NO 🔴</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Decision</w:t>
            </w:r>
          </w:p>
        </w:tc>
        <w:tc>
          <w:tcPr>
            <w:tcW w:type="dxa" w:w="2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922B21"/>
                <w:sz w:val="20"/>
                <w:szCs w:val="20"/>
              </w:rPr>
              <w:t xml:space="preserve">REJECTED
CoT output incompatible with JSON role</w:t>
            </w:r>
          </w:p>
        </w:tc>
        <w:tc>
          <w:tcPr>
            <w:tcW w:type="dxa" w:w="2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E5631"/>
                <w:sz w:val="20"/>
                <w:szCs w:val="20"/>
              </w:rPr>
              <w:t xml:space="preserve">SELECTED
Only model meeting the hard constraint</w:t>
            </w:r>
          </w:p>
        </w:tc>
        <w:tc>
          <w:tcPr>
            <w:tcW w:type="dxa" w:w="23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C55A11"/>
                <w:sz w:val="20"/>
                <w:szCs w:val="20"/>
              </w:rPr>
              <w:t xml:space="preserve">REJECTED
100% HIGH risk tier bias eliminates autonomous recovery</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595959" w:sz="4"/>
              <w:left w:val="thick" w:color="595959" w:sz="12"/>
              <w:bottom w:val="single" w:color="595959" w:sz="4"/>
              <w:right w:val="single" w:color="595959" w:sz="4"/>
            </w:tcBorders>
            <w:shd w:fill="F2F3F4" w:val="clear"/>
            <w:tcMar>
              <w:top w:type="dxa" w:w="100"/>
              <w:left w:type="dxa" w:w="180"/>
              <w:bottom w:type="dxa" w:w="100"/>
              <w:right w:type="dxa" w:w="180"/>
            </w:tcMar>
          </w:tcPr>
          <w:p>
            <w:pPr>
              <w:spacing w:after="40" w:before="40"/>
            </w:pPr>
            <w:r>
              <w:rPr>
                <w:rFonts w:ascii="Calibri" w:cs="Calibri" w:eastAsia="Calibri" w:hAnsi="Calibri"/>
                <w:b/>
                <w:bCs/>
                <w:sz w:val="20"/>
                <w:szCs w:val="20"/>
              </w:rPr>
              <w:t xml:space="preserve">Legend: </w:t>
            </w:r>
            <w:r>
              <w:rPr>
                <w:rFonts w:ascii="Calibri" w:cs="Calibri" w:eastAsia="Calibri" w:hAnsi="Calibri"/>
                <w:sz w:val="20"/>
                <w:szCs w:val="20"/>
              </w:rPr>
              <w:t xml:space="preserve">🟢 = best / acceptable  |  🟡 = borderline  |  🔴 = failing / disqualifying  |  ⚠️ = concerning  |  ✓ = selected model</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6. Failure Analysis — qwen3:1.7b (3 Non-Passing Responses)</w:t>
      </w:r>
    </w:p>
    <w:p>
      <w:pPr>
        <w:spacing w:after="60" w:before="60"/>
      </w:pPr>
      <w:r>
        <w:rPr>
          <w:rFonts w:ascii="Calibri" w:cs="Calibri" w:eastAsia="Calibri" w:hAnsi="Calibri"/>
          <w:sz w:val="20"/>
          <w:szCs w:val="20"/>
        </w:rPr>
        <w:t xml:space="preserve">All three schema-invalid responses from the selected model have identified root causes. Neither indicates a fundamental model capability limitation — both are engineering-level issues with confirmed fixes.</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Prompt</w:t>
            </w:r>
          </w:p>
        </w:tc>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Category</w:t>
            </w:r>
          </w:p>
        </w:tc>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Failure Type</w:t>
            </w:r>
          </w:p>
        </w:tc>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Root Cause</w:t>
            </w:r>
          </w:p>
        </w:tc>
        <w:tc>
          <w:tcPr>
            <w:tcW w:type="dxa" w:w="2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Fix Applied for Production</w:t>
            </w:r>
          </w:p>
        </w:tc>
      </w:tr>
      <w:tr>
        <w:tc>
          <w:tcPr>
            <w:tcW w:type="dxa" w:w="12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CPU_03</w:t>
            </w:r>
          </w:p>
        </w:tc>
        <w:tc>
          <w:tcPr>
            <w:tcW w:type="dxa" w:w="18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CPU / Memory Spike (MEDIUM)</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C55A11"/>
                <w:sz w:val="20"/>
                <w:szCs w:val="20"/>
              </w:rPr>
              <w:t xml:space="preserve">Extra fields in output</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Model echoed input context fields (node, historical_context, additional_details) into the JSON output object alongside the required 7 fields</w:t>
            </w:r>
          </w:p>
        </w:tc>
        <w:tc>
          <w:tcPr>
            <w:tcW w:type="dxa" w:w="21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E5631"/>
                <w:sz w:val="20"/>
                <w:szCs w:val="20"/>
              </w:rPr>
              <w:t xml:space="preserve">System prompt constraint added: "Output ONLY these 7 fields. Do NOT include any other keys from the input."</w:t>
            </w:r>
          </w:p>
        </w:tc>
      </w:tr>
      <w:tr>
        <w:tc>
          <w:tcPr>
            <w:tcW w:type="dxa" w:w="12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AUTH_03</w:t>
            </w:r>
          </w:p>
        </w:tc>
        <w:tc>
          <w:tcPr>
            <w:tcW w:type="dxa" w:w="18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Auth Failure Flood (MEDIUM)</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C55A11"/>
                <w:sz w:val="20"/>
                <w:szCs w:val="20"/>
              </w:rPr>
              <w:t xml:space="preserve">Extra fields in output</w:t>
            </w:r>
          </w:p>
        </w:tc>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Same pattern as CPU_03 — input fields echoed. Occurred on another MEDIUM-severity prompt where the model may compensate for ambiguity by providing more context.</w:t>
            </w:r>
          </w:p>
        </w:tc>
        <w:tc>
          <w:tcPr>
            <w:tcW w:type="dxa" w:w="21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E5631"/>
                <w:sz w:val="20"/>
                <w:szCs w:val="20"/>
              </w:rPr>
              <w:t xml:space="preserve">Same system prompt fix as CPU_03.</w:t>
            </w:r>
          </w:p>
        </w:tc>
      </w:tr>
      <w:tr>
        <w:tc>
          <w:tcPr>
            <w:tcW w:type="dxa" w:w="12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THR_06</w:t>
            </w:r>
          </w:p>
        </w:tc>
        <w:tc>
          <w:tcPr>
            <w:tcW w:type="dxa" w:w="18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Throughput Drop — most complex prompt (2 simultaneous failing components, cascade risk, all-node scope)</w:t>
            </w:r>
          </w:p>
        </w:tc>
        <w:tc>
          <w:tcPr>
            <w:tcW w:type="dxa" w:w="18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922B21"/>
                <w:sz w:val="20"/>
                <w:szCs w:val="20"/>
              </w:rPr>
              <w:t xml:space="preserve">JSON truncated at token limit</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Response reached num_predict=400 hard limit mid-sentence inside the "reasoning" string. Closing quote and brace were never written. JSON malformed.</w:t>
            </w:r>
          </w:p>
        </w:tc>
        <w:tc>
          <w:tcPr>
            <w:tcW w:type="dxa" w:w="21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E5631"/>
                <w:sz w:val="20"/>
                <w:szCs w:val="20"/>
              </w:rPr>
              <w:t xml:space="preserve">num_predict increased to 512 for production deployment. Complex multi-component prompts generate longer reasoning chains — 400 tokens insufficient.</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E5631" w:sz="4"/>
              <w:left w:val="thick" w:color="1E5631" w:sz="12"/>
              <w:bottom w:val="single" w:color="1E5631" w:sz="4"/>
              <w:right w:val="single" w:color="1E5631" w:sz="4"/>
            </w:tcBorders>
            <w:shd w:fill="D5F5E3"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Effective Schema Validity Post-Fix: </w:t>
            </w:r>
            <w:r>
              <w:rPr>
                <w:rFonts w:ascii="Calibri" w:cs="Calibri" w:eastAsia="Calibri" w:hAnsi="Calibri"/>
                <w:sz w:val="20"/>
                <w:szCs w:val="20"/>
              </w:rPr>
              <w:t xml:space="preserve">With both engineering fixes applied (system prompt constraint + num_predict=512), all 3 failures are resolved. The reasoning and action content in all 3 failing responses was correct — failures were structural only. Estimated production schema validity: </w:t>
            </w:r>
            <w:r>
              <w:rPr>
                <w:rFonts w:ascii="Calibri" w:cs="Calibri" w:eastAsia="Calibri" w:hAnsi="Calibri"/>
                <w:b/>
                <w:bCs/>
                <w:sz w:val="20"/>
                <w:szCs w:val="20"/>
              </w:rPr>
              <w:t xml:space="preserve">30/30 (100%)</w:t>
            </w:r>
            <w:r>
              <w:rPr>
                <w:rFonts w:ascii="Calibri" w:cs="Calibri" w:eastAsia="Calibri" w:hAnsi="Calibri"/>
                <w:sz w:val="20"/>
                <w:szCs w:val="20"/>
              </w:rPr>
              <w:t xml:space="preserve"> on the same 30-prompt strict test set.</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7. Response Quality Analysis — qwen3:1.7b</w:t>
      </w:r>
    </w:p>
    <w:p>
      <w:pPr>
        <w:spacing w:after="60" w:before="60"/>
      </w:pPr>
      <w:r>
        <w:rPr>
          <w:rFonts w:ascii="Calibri" w:cs="Calibri" w:eastAsia="Calibri" w:hAnsi="Calibri"/>
          <w:sz w:val="20"/>
          <w:szCs w:val="20"/>
        </w:rPr>
        <w:t xml:space="preserve">Beyond pass/fail schema metrics, the 27 valid responses were reviewed for reasoning coherence, action specificity, and severity calibration. This section documents the qualitative evidence supporting the model's suitability for production deployment without fine-tuning.</w:t>
      </w:r>
    </w:p>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7.1 Severity-to-Action Calibration</w:t>
      </w:r>
    </w:p>
    <w:p>
      <w:pPr>
        <w:spacing w:after="60" w:before="60"/>
      </w:pPr>
      <w:r>
        <w:rPr>
          <w:rFonts w:ascii="Calibri" w:cs="Calibri" w:eastAsia="Calibri" w:hAnsi="Calibri"/>
          <w:sz w:val="20"/>
          <w:szCs w:val="20"/>
        </w:rPr>
        <w:t xml:space="preserve">The model correctly modulates language, action urgency, and confidence across all four severity levels. This is a non-trivial requirement: the Strategy Agent's output directly determines whether an incident is auto-executed or escalated to the human operator.</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Severity</w:t>
            </w:r>
          </w:p>
        </w:tc>
        <w:tc>
          <w:tcPr>
            <w:tcW w:type="dxa" w:w="3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Observed Language Pattern</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Action Urgency</w:t>
            </w:r>
          </w:p>
        </w:tc>
        <w:tc>
          <w:tcPr>
            <w:tcW w:type="dxa" w:w="3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Typical Confidence Range</w:t>
            </w:r>
          </w:p>
        </w:tc>
      </w:tr>
      <w:tr>
        <w:tc>
          <w:tcPr>
            <w:tcW w:type="dxa" w:w="1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E5631"/>
                <w:sz w:val="20"/>
                <w:szCs w:val="20"/>
              </w:rPr>
              <w:t xml:space="preserve">LOW</w:t>
            </w:r>
          </w:p>
        </w:tc>
        <w:tc>
          <w:tcPr>
            <w:tcW w:type="dxa" w:w="3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"minimal impact on pipeline stability", "rare anomaly", "requires monitoring"</w:t>
            </w:r>
          </w:p>
        </w:tc>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Observational only — no disruptive actions</w:t>
            </w:r>
          </w:p>
        </w:tc>
        <w:tc>
          <w:tcPr>
            <w:tcW w:type="dxa" w:w="31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0.85 – 0.95</w:t>
            </w:r>
          </w:p>
        </w:tc>
      </w:tr>
      <w:tr>
        <w:tc>
          <w:tcPr>
            <w:tcW w:type="dxa" w:w="1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20"/>
                <w:szCs w:val="20"/>
              </w:rPr>
              <w:t xml:space="preserve">MEDIUM</w:t>
            </w:r>
          </w:p>
        </w:tc>
        <w:tc>
          <w:tcPr>
            <w:tcW w:type="dxa" w:w="30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"potential impact", "manageable", "targeted adjustment"</w:t>
            </w:r>
          </w:p>
        </w:tc>
        <w:tc>
          <w:tcPr>
            <w:tcW w:type="dxa" w:w="20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Monitoring + one targeted corrective action</w:t>
            </w:r>
          </w:p>
        </w:tc>
        <w:tc>
          <w:tcPr>
            <w:tcW w:type="dxa" w:w="31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0.70 – 0.85 (lower — reflects prompt ambiguity)</w:t>
            </w:r>
          </w:p>
        </w:tc>
      </w:tr>
      <w:tr>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HIGH</w:t>
            </w:r>
          </w:p>
        </w:tc>
        <w:tc>
          <w:tcPr>
            <w:tcW w:type="dxa" w:w="3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"requires immediate attention", "significant service disruption", "critical impact"</w:t>
            </w:r>
          </w:p>
        </w:tc>
        <w:tc>
          <w:tcPr>
            <w:tcW w:type="dxa" w:w="2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Immediate mitigation + root cause investigation</w:t>
            </w:r>
          </w:p>
        </w:tc>
        <w:tc>
          <w:tcPr>
            <w:tcW w:type="dxa" w:w="3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0.75 – 0.90</w:t>
            </w:r>
          </w:p>
        </w:tc>
      </w:tr>
      <w:tr>
        <w:tc>
          <w:tcPr>
            <w:tcW w:type="dxa" w:w="12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bCs/>
                <w:color w:val="922B21"/>
                <w:sz w:val="20"/>
                <w:szCs w:val="20"/>
              </w:rPr>
              <w:t xml:space="preserve">CRITICAL</w:t>
            </w:r>
          </w:p>
        </w:tc>
        <w:tc>
          <w:tcPr>
            <w:tcW w:type="dxa" w:w="30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"necessitates immediate", "halt", "urgent", "cascading failure risk"</w:t>
            </w:r>
          </w:p>
        </w:tc>
        <w:tc>
          <w:tcPr>
            <w:tcW w:type="dxa" w:w="200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System stability first (restart / isolate / failover), investigation second</w:t>
            </w:r>
          </w:p>
        </w:tc>
        <w:tc>
          <w:tcPr>
            <w:tcW w:type="dxa" w:w="3160"/>
            <w:gridSpan w:val="1"/>
            <w:tcBorders>
              <w:top w:val="single" w:color="AAAAAA" w:sz="4"/>
              <w:left w:val="single" w:color="AAAAAA" w:sz="4"/>
              <w:bottom w:val="single" w:color="AAAAAA" w:sz="4"/>
              <w:right w:val="single" w:color="AAAAAA" w:sz="4"/>
            </w:tcBorders>
            <w:shd w:fill="FADBD8"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0.85 – 0.95 (high — extreme signals treated as unambiguous)</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Key finding: </w:t>
            </w:r>
            <w:r>
              <w:rPr>
                <w:rFonts w:ascii="Calibri" w:cs="Calibri" w:eastAsia="Calibri" w:hAnsi="Calibri"/>
                <w:sz w:val="20"/>
                <w:szCs w:val="20"/>
              </w:rPr>
              <w:t xml:space="preserve">MEDIUM-severity prompts consistently produced lower confidence scores (0.70–0.85) than LOW or CRITICAL prompts. This is the correct behaviour — MEDIUM prompts in the strict variant are designed to be ambiguous. The model treats severity as a genuine uncertainty signal, not a formatting label. No response produced a confidence value outside [0.0, 1.0].</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7.2 Domain-Specific Reasoning Evidence</w:t>
      </w:r>
    </w:p>
    <w:p>
      <w:pPr>
        <w:spacing w:after="60" w:before="60"/>
      </w:pPr>
      <w:r>
        <w:rPr>
          <w:rFonts w:ascii="Calibri" w:cs="Calibri" w:eastAsia="Calibri" w:hAnsi="Calibri"/>
          <w:sz w:val="20"/>
          <w:szCs w:val="20"/>
        </w:rPr>
        <w:t xml:space="preserve">Selected examples demonstrating that qwen3:1.7b produces pipeline-aware reasoning rather than generic template responses:</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Prompt</w:t>
            </w:r>
          </w:p>
        </w:tc>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Category</w:t>
            </w:r>
          </w:p>
        </w:tc>
        <w:tc>
          <w:tcPr>
            <w:tcW w:type="dxa" w:w="66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Notable Reasoning Quality</w:t>
            </w:r>
          </w:p>
        </w:tc>
      </w:tr>
      <w:tr>
        <w:tc>
          <w:tcPr>
            <w:tcW w:type="dxa" w:w="9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THR_03</w:t>
            </w:r>
          </w:p>
        </w:tc>
        <w:tc>
          <w:tcPr>
            <w:tcW w:type="dxa" w:w="18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Throughput Drop (MEDIUM)</w:t>
            </w:r>
          </w:p>
        </w:tc>
        <w:tc>
          <w:tcPr>
            <w:tcW w:type="dxa" w:w="66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Recommended restart is conditional: "if it's stable and the issue persists." Demonstrates sequential reasoning — does not blindly recommend restart for a MEDIUM-severity event. Most sophisticated response in the test set for operational caution.</w:t>
            </w:r>
          </w:p>
        </w:tc>
      </w:tr>
      <w:tr>
        <w:tc>
          <w:tcPr>
            <w:tcW w:type="dxa" w:w="9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DRIFT_06</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Schema Drift — Statistical Distribution Shift (HIGH)</w:t>
            </w:r>
          </w:p>
        </w:tc>
        <w:tc>
          <w:tcPr>
            <w:tcW w:type="dxa" w:w="66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Recommended "re-evaluate feature importance and scaling factors" in addition to standard data validation checks. This goes beyond syntactic schema checking into ML pipeline-aware analysis — the only response to reference model sensitivity explicitly.</w:t>
            </w:r>
          </w:p>
        </w:tc>
      </w:tr>
      <w:tr>
        <w:tc>
          <w:tcPr>
            <w:tcW w:type="dxa" w:w="9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AUTH_05</w:t>
            </w:r>
          </w:p>
        </w:tc>
        <w:tc>
          <w:tcPr>
            <w:tcW w:type="dxa" w:w="18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Auth Failure Flood — Coordinated attack, all 3 nodes (CRITICAL)</w:t>
            </w:r>
          </w:p>
        </w:tc>
        <w:tc>
          <w:tcPr>
            <w:tcW w:type="dxa" w:w="66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Correctly recommended full node isolation as the first action — the most severe response in the test set — and did so only for the coordinated multi-node CRITICAL prompt. Demonstrates scope-awareness: single-node HIGH prompts received rate-limiting, not isolation.</w:t>
            </w:r>
          </w:p>
        </w:tc>
      </w:tr>
      <w:tr>
        <w:tc>
          <w:tcPr>
            <w:tcW w:type="dxa" w:w="9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CPU_04</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CPU Spike — Isolation Forest model process (HIGH)</w:t>
            </w:r>
          </w:p>
        </w:tc>
        <w:tc>
          <w:tcPr>
            <w:tcW w:type="dxa" w:w="66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Correctly distinguished between ML model process instability and infrastructure-level resource saturation. Recommended "review model training parameters and check for underlying issues causing instability" — specific to the component type, not a generic restart action.</w:t>
            </w:r>
          </w:p>
        </w:tc>
      </w:tr>
      <w:tr>
        <w:tc>
          <w:tcPr>
            <w:tcW w:type="dxa" w:w="9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ERR_02</w:t>
            </w:r>
          </w:p>
        </w:tc>
        <w:tc>
          <w:tcPr>
            <w:tcW w:type="dxa" w:w="18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Error Rate Surge — External API (CRITICAL)</w:t>
            </w:r>
          </w:p>
        </w:tc>
        <w:tc>
          <w:tcPr>
            <w:tcW w:type="dxa" w:w="66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Correctly identified that the affected component is external (upstream data provider API) and recommended contacting the third-party provider as the first action — appropriate when the failure is outside the system's control boundary.</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7.3 Confidence Score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Statistic</w:t>
            </w:r>
          </w:p>
        </w:tc>
        <w:tc>
          <w:tcPr>
            <w:tcW w:type="dxa" w:w="6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Value</w:t>
            </w:r>
          </w:p>
        </w:tc>
      </w:tr>
      <w:tr>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Confidence range across all 27 valid responses</w:t>
            </w:r>
          </w:p>
        </w:tc>
        <w:tc>
          <w:tcPr>
            <w:tcW w:type="dxa" w:w="6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0.70 – 0.95</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Most common value</w:t>
            </w:r>
          </w:p>
        </w:tc>
        <w:tc>
          <w:tcPr>
            <w:tcW w:type="dxa" w:w="6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0.85 (appears in majority of HIGH-severity responses)</w:t>
            </w:r>
          </w:p>
        </w:tc>
      </w:tr>
      <w:tr>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Lowest confidence observed</w:t>
            </w:r>
          </w:p>
        </w:tc>
        <w:tc>
          <w:tcPr>
            <w:tcW w:type="dxa" w:w="6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0.70 — on MEDIUM-severity strict prompts with genuine ambiguity (THR_03, DRIFT_02, DRIFT_05)</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Highest confidence observed</w:t>
            </w:r>
          </w:p>
        </w:tc>
        <w:tc>
          <w:tcPr>
            <w:tcW w:type="dxa" w:w="6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0.95 — on CRITICAL-severity clear-signal prompts (CPU_02, CPU_06, ERR_02, AUTH_05)</w:t>
            </w:r>
          </w:p>
        </w:tc>
      </w:tr>
      <w:tr>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Responses outside [0.0, 1.0]</w:t>
            </w:r>
          </w:p>
        </w:tc>
        <w:tc>
          <w:tcPr>
            <w:tcW w:type="dxa" w:w="63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E5631"/>
                <w:sz w:val="20"/>
                <w:szCs w:val="20"/>
              </w:rPr>
              <w:t xml:space="preserve">0 — all 27 valid responses produced compliant float values</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Avg tokens generated (valid responses)</w:t>
            </w:r>
          </w:p>
        </w:tc>
        <w:tc>
          <w:tcPr>
            <w:tcW w:type="dxa" w:w="6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~320 tokens (range: 245–390, excluding THR_06 truncation)</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8. Key Findings for Publication</w:t>
      </w:r>
    </w:p>
    <w:p>
      <w:pPr>
        <w:spacing w:after="60" w:before="60"/>
      </w:pPr>
      <w:r>
        <w:rPr>
          <w:rFonts w:ascii="Calibri" w:cs="Calibri" w:eastAsia="Calibri" w:hAnsi="Calibri"/>
          <w:sz w:val="20"/>
          <w:szCs w:val="20"/>
        </w:rPr>
        <w:t xml:space="preserve">The following findings are stated in paper-ready form. Each is grounded in the empirical Phase 0 results and is independently verifiable from the raw JSONL output files.</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F1</w:t>
            </w:r>
          </w:p>
        </w:tc>
        <w:tc>
          <w:tcPr>
            <w:tcW w:type="dxa" w:w="87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Structured output compliance is not correlated with parameter count in the sub-2B range.</w:t>
            </w:r>
          </w:p>
        </w:tc>
      </w:tr>
      <w:tr>
        <w:tc>
          <w:tcPr>
            <w:tcW w:type="dxa" w:w="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
            </w:r>
          </w:p>
        </w:tc>
        <w:tc>
          <w:tcPr>
            <w:tcW w:type="dxa" w:w="8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qwen3:1.7b (1.7B parameters) achieved 90% schema validity while deepseek-r1:1.5b (1.5B parameters, fewer parameters) achieved 0% under identical hardware and prompt conditions. Parameter count is a poor proxy for instruction-following capability at this scale.</w:t>
            </w:r>
          </w:p>
        </w:tc>
      </w:tr>
    </w:tbl>
    <w:p>
      <w:pPr>
        <w:spacing w:after="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F2</w:t>
            </w:r>
          </w:p>
        </w:tc>
        <w:tc>
          <w:tcPr>
            <w:tcW w:type="dxa" w:w="87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CoT-optimized architectures are structurally incompatible with strict JSON output roles.</w:t>
            </w:r>
          </w:p>
        </w:tc>
      </w:tr>
      <w:tr>
        <w:tc>
          <w:tcPr>
            <w:tcW w:type="dxa" w:w="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
            </w:r>
          </w:p>
        </w:tc>
        <w:tc>
          <w:tcPr>
            <w:tcW w:type="dxa" w:w="8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deepseek-r1:1.5b is a chain-of-thought reasoning model. Its near-zero JSON validity on strict prompts indicates that CoT generation mode prevents valid JSON closure — the model produces prose reasoning before and after the JSON block, breaking parsability. This confirms the prior exclusion of phi4-mini:reasoning for the same architectural reason.</w:t>
            </w:r>
          </w:p>
        </w:tc>
      </w:tr>
    </w:tbl>
    <w:p>
      <w:pPr>
        <w:spacing w:after="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F3</w:t>
            </w:r>
          </w:p>
        </w:tc>
        <w:tc>
          <w:tcPr>
            <w:tcW w:type="dxa" w:w="87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Speed advantage is operationally irrelevant below the schema validity threshold.</w:t>
            </w:r>
          </w:p>
        </w:tc>
      </w:tr>
      <w:tr>
        <w:tc>
          <w:tcPr>
            <w:tcW w:type="dxa" w:w="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
            </w:r>
          </w:p>
        </w:tc>
        <w:tc>
          <w:tcPr>
            <w:tcW w:type="dxa" w:w="8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phi4-mini is the fastest model tested (13.47s average, 8.56 tok/s) but produces 6.7% schema-valid output. In an async multi-agent pipeline, a fast invalid response generates more operational overhead — error handling, HITL escalation, retry logic — than a slower valid response. Throughput cannot compensate for correctness failure.</w:t>
            </w:r>
          </w:p>
        </w:tc>
      </w:tr>
    </w:tbl>
    <w:p>
      <w:pPr>
        <w:spacing w:after="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F4</w:t>
            </w:r>
          </w:p>
        </w:tc>
        <w:tc>
          <w:tcPr>
            <w:tcW w:type="dxa" w:w="87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Risk tier calibration reveals systematic model bias that aggregate validity metrics conceal.</w:t>
            </w:r>
          </w:p>
        </w:tc>
      </w:tr>
      <w:tr>
        <w:tc>
          <w:tcPr>
            <w:tcW w:type="dxa" w:w="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
            </w:r>
          </w:p>
        </w:tc>
        <w:tc>
          <w:tcPr>
            <w:tcW w:type="dxa" w:w="8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phi4-mini produced a 100% HIGH risk tier rate across its 9 parseable responses (0 LOW classifications). This calibration failure is invisible in the JSON valid % metric alone. In production, this bias would route every LOW and MEDIUM severity incident to the human operator, eliminating autonomous pipeline recovery and defeating the system's primary purpose.</w:t>
            </w:r>
          </w:p>
        </w:tc>
      </w:tr>
    </w:tbl>
    <w:p>
      <w:pPr>
        <w:spacing w:after="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F5</w:t>
            </w:r>
          </w:p>
        </w:tc>
        <w:tc>
          <w:tcPr>
            <w:tcW w:type="dxa" w:w="87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All 3 failures in the selected model are engineering artifacts, not capability limitations.</w:t>
            </w:r>
          </w:p>
        </w:tc>
      </w:tr>
      <w:tr>
        <w:tc>
          <w:tcPr>
            <w:tcW w:type="dxa" w:w="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
            </w:r>
          </w:p>
        </w:tc>
        <w:tc>
          <w:tcPr>
            <w:tcW w:type="dxa" w:w="8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The 3 schema-invalid responses from qwen3:1.7b trace to two fixable causes: input context echoing (2 responses — fixed by system prompt constraint) and token budget truncation (1 response — fixed by increasing num_predict to 512). The reasoning and action content in all 3 cases is correct. 90% schema validity is a conservative lower bound; estimated production validity is 100% with fixes applied.</w:t>
            </w:r>
          </w:p>
        </w:tc>
      </w:tr>
    </w:tbl>
    <w:p>
      <w:pPr>
        <w:spacing w:after="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F6</w:t>
            </w:r>
          </w:p>
        </w:tc>
        <w:tc>
          <w:tcPr>
            <w:tcW w:type="dxa" w:w="87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Severity-conditional reasoning emerges without few-shot examples.</w:t>
            </w:r>
          </w:p>
        </w:tc>
      </w:tr>
      <w:tr>
        <w:tc>
          <w:tcPr>
            <w:tcW w:type="dxa" w:w="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
            </w:r>
          </w:p>
        </w:tc>
        <w:tc>
          <w:tcPr>
            <w:tcW w:type="dxa" w:w="8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qwen3:1.7b produced calibrated responses across all 4 severity levels and 5 anomaly categories without in-context examples in the strict variant. MEDIUM prompts produced lower confidence scores (0.70–0.85) than CRITICAL prompts (0.85–0.95), demonstrating that the model treats prompt ambiguity as genuine uncertainty rather than applying a fixed confidence template.</w:t>
            </w:r>
          </w:p>
        </w:tc>
      </w:tr>
    </w:tbl>
    <w:p>
      <w:pPr>
        <w:spacing w:after="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F7</w:t>
            </w:r>
          </w:p>
        </w:tc>
        <w:tc>
          <w:tcPr>
            <w:tcW w:type="dxa" w:w="87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20"/>
                <w:szCs w:val="20"/>
              </w:rPr>
              <w:t xml:space="preserve">Domain-specific reasoning quality supports production deployment without fine-tuning.</w:t>
            </w:r>
          </w:p>
        </w:tc>
      </w:tr>
      <w:tr>
        <w:tc>
          <w:tcPr>
            <w:tcW w:type="dxa" w:w="6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
            </w:r>
          </w:p>
        </w:tc>
        <w:tc>
          <w:tcPr>
            <w:tcW w:type="dxa" w:w="8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Responses reference specific pipeline components (Isolation Forest model process instability vs. infrastructure saturation, RabbitMQ consumer lag, SSH daemon isolation scope) and demonstrate pipeline-aware logic (conditional restarts at MEDIUM severity, feature importance re-evaluation for statistical distribution drift). This level of domain specificity — without fine-tuning on pipeline data — suggests qwen3:1.7b is production-viable for the Strategy Agent role on the current hardware constraints.</w:t>
            </w:r>
          </w:p>
        </w:tc>
      </w:tr>
    </w:tbl>
    <w:p>
      <w:pPr>
        <w:spacing w:after="0" w:before="80"/>
      </w:pPr>
      <w:r>
        <w:rPr>
          <w:rFonts w:ascii="Calibri" w:cs="Calibri" w:eastAsia="Calibri" w:hAnsi="Calibri"/>
          <w:sz w:val="20"/>
          <w:szCs w:val="20"/>
        </w:rPr>
        <w:t xml:space="preserve"/>
      </w:r>
    </w:p>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9. Model Selection Decision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60"/>
            <w:gridSpan w:val="2"/>
            <w:tcBorders>
              <w:top w:val="single" w:color="AAAAAA" w:sz="4"/>
              <w:left w:val="single" w:color="AAAAAA" w:sz="4"/>
              <w:bottom w:val="single" w:color="AAAAAA" w:sz="4"/>
              <w:right w:val="single" w:color="AAAAAA" w:sz="4"/>
            </w:tcBorders>
            <w:shd w:fill="1E5631" w:val="clear"/>
            <w:tcMar>
              <w:top w:type="dxa" w:w="80"/>
              <w:left w:type="dxa" w:w="120"/>
              <w:bottom w:type="dxa" w:w="80"/>
              <w:right w:type="dxa" w:w="120"/>
            </w:tcMar>
            <w:vAlign w:val="center"/>
          </w:tcPr>
          <w:p>
            <w:pPr>
              <w:spacing w:after="50" w:before="50"/>
              <w:jc w:val="center"/>
            </w:pPr>
            <w:r>
              <w:rPr>
                <w:rFonts w:ascii="Calibri" w:cs="Calibri" w:eastAsia="Calibri" w:hAnsi="Calibri"/>
                <w:b/>
                <w:bCs/>
                <w:color w:val="FFFFFF"/>
                <w:sz w:val="20"/>
                <w:szCs w:val="20"/>
              </w:rPr>
              <w:t xml:space="preserve">✓  SELECTED FOR STRATEGY AGENT:  qwen3:1.7b  via Ollama</w:t>
            </w:r>
          </w:p>
        </w:tc>
      </w:tr>
      <w:tr>
        <w:tc>
          <w:tcPr>
            <w:tcW w:type="dxa" w:w="3000"/>
            <w:gridSpan w:val="1"/>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Decision Basis</w:t>
            </w:r>
          </w:p>
        </w:tc>
        <w:tc>
          <w:tcPr>
            <w:tcW w:type="dxa" w:w="6360"/>
            <w:gridSpan w:val="1"/>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Detail</w:t>
            </w:r>
          </w:p>
        </w:tc>
      </w:tr>
      <w:tr>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Hard constraint met</w:t>
            </w:r>
          </w:p>
        </w:tc>
        <w:tc>
          <w:tcPr>
            <w:tcW w:type="dxa" w:w="6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90% schema validity on the strictest prompt variant. Estimated 100% with engineering fixes applied. Only candidate meeting minimum production viability.</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Risk tier calibration</w:t>
            </w:r>
          </w:p>
        </w:tc>
        <w:tc>
          <w:tcPr>
            <w:tcW w:type="dxa" w:w="6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11 LOW / 18 HIGH distribution across 30 prompts — balanced and matching ground-truth severity spread. No systematic escalation bias.</w:t>
            </w:r>
          </w:p>
        </w:tc>
      </w:tr>
      <w:tr>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Reasoning quality</w:t>
            </w:r>
          </w:p>
        </w:tc>
        <w:tc>
          <w:tcPr>
            <w:tcW w:type="dxa" w:w="6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Domain-aware, component-specific reasoning confirmed across all 5 anomaly categories. Severity-conditional action urgency without few-shot examples.</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Hardware fit</w:t>
            </w:r>
          </w:p>
        </w:tc>
        <w:tc>
          <w:tcPr>
            <w:tcW w:type="dxa" w:w="6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~1.1GB at 4-bit quantisation. Compatible with Node 2 (8GB RAM) running concurrently with qwen3:0.6b (Learning Agent) and full agent stack.</w:t>
            </w:r>
          </w:p>
        </w:tc>
      </w:tr>
      <w:tr>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No fine-tuning required</w:t>
            </w:r>
          </w:p>
        </w:tc>
        <w:tc>
          <w:tcPr>
            <w:tcW w:type="dxa" w:w="6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Production-viable on AIOps incident prompts without domain-specific training data.</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Engineering Fixes Applied Before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Fix</w:t>
            </w:r>
          </w:p>
        </w:tc>
        <w:tc>
          <w:tcPr>
            <w:tcW w:type="dxa" w:w="6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Change</w:t>
            </w:r>
          </w:p>
        </w:tc>
      </w:tr>
      <w:tr>
        <w:tc>
          <w:tcPr>
            <w:tcW w:type="dxa" w:w="3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System prompt — extra field constraint</w:t>
            </w:r>
          </w:p>
        </w:tc>
        <w:tc>
          <w:tcPr>
            <w:tcW w:type="dxa" w:w="63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Added: "Output ONLY these 7 fields: anomaly_type, severity, affected_component, recommended_actions, confidence, risk_tier, reasoning. Do NOT include any other keys from the input in your JSON response."</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Token budget</w:t>
            </w:r>
          </w:p>
        </w:tc>
        <w:tc>
          <w:tcPr>
            <w:tcW w:type="dxa" w:w="6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num_predict increased from 400 → 512 for the production Strategy Agent. Prevents JSON truncation on complex multi-component prompts.</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Agents Using Other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Agent</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Model</w:t>
            </w:r>
          </w:p>
        </w:tc>
        <w:tc>
          <w:tcPr>
            <w:tcW w:type="dxa" w:w="49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20"/>
                <w:szCs w:val="20"/>
              </w:rPr>
              <w:t xml:space="preserve">Rationale</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Triage Agent</w:t>
            </w:r>
          </w:p>
        </w:tc>
        <w:tc>
          <w:tcPr>
            <w:tcW w:type="dxa" w:w="2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None (rule-based)</w:t>
            </w:r>
          </w:p>
        </w:tc>
        <w:tc>
          <w:tcPr>
            <w:tcW w:type="dxa" w:w="49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Fast rule-based classifier + ChromaDB RAG retrieval. No LLM call. Keeps Triage Agent latency within 3-second SLA.</w:t>
            </w:r>
          </w:p>
        </w:tc>
      </w:tr>
      <w:tr>
        <w:tc>
          <w:tcPr>
            <w:tcW w:type="dxa" w:w="24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E5631"/>
                <w:sz w:val="20"/>
                <w:szCs w:val="20"/>
              </w:rPr>
              <w:t xml:space="preserve">Strategy Agent</w:t>
            </w:r>
          </w:p>
        </w:tc>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E5631"/>
                <w:sz w:val="20"/>
                <w:szCs w:val="20"/>
              </w:rPr>
              <w:t xml:space="preserve">qwen3:1.7b</w:t>
            </w:r>
          </w:p>
        </w:tc>
        <w:tc>
          <w:tcPr>
            <w:tcW w:type="dxa" w:w="49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Selected in this Phase 0 evaluation. 90% schema valid (est. 100% with fixes). Deployed via Ollama on ai-brain-node.</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Policy Agent</w:t>
            </w:r>
          </w:p>
        </w:tc>
        <w:tc>
          <w:tcPr>
            <w:tcW w:type="dxa" w:w="200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None (pure Python)</w:t>
            </w:r>
          </w:p>
        </w:tc>
        <w:tc>
          <w:tcPr>
            <w:tcW w:type="dxa" w:w="4960"/>
            <w:gridSpan w:val="1"/>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Deterministic tiered routing table. No ML/LLM. Latency target ≤ 500ms.</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00000"/>
                <w:sz w:val="20"/>
                <w:szCs w:val="20"/>
              </w:rPr>
              <w:t xml:space="preserve">Learning Agent</w:t>
            </w:r>
          </w:p>
        </w:tc>
        <w:tc>
          <w:tcPr>
            <w:tcW w:type="dxa" w:w="2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qwen3:0.6b (designated)</w:t>
            </w:r>
          </w:p>
        </w:tc>
        <w:tc>
          <w:tcPr>
            <w:tcW w:type="dxa" w:w="4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000000"/>
                <w:sz w:val="20"/>
                <w:szCs w:val="20"/>
              </w:rPr>
              <w:t xml:space="preserve">Designated for outcome summarisation and ChromaDB categorisation. Formal evaluation to be conducted in Phase 2. Candidate selected based on sub-1B parameter requirement for RAM budget compliance.</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E5631" w:sz="4"/>
              <w:left w:val="thick" w:color="1E5631" w:sz="12"/>
              <w:bottom w:val="single" w:color="1E5631" w:sz="4"/>
              <w:right w:val="single" w:color="1E5631" w:sz="4"/>
            </w:tcBorders>
            <w:shd w:fill="D5F5E3"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Phase 0 Status: </w:t>
            </w:r>
            <w:r>
              <w:rPr>
                <w:rFonts w:ascii="Calibri" w:cs="Calibri" w:eastAsia="Calibri" w:hAnsi="Calibri"/>
                <w:sz w:val="20"/>
                <w:szCs w:val="20"/>
              </w:rPr>
              <w:t xml:space="preserve">COMPLETE — All infrastructure milestones verified and LLM evaluation concluded. Model selection decision is final. The codebase proceeds to Phase 1 (Stream Ingestion &amp; Anomaly Detection) with qwen3:1.7b designated as the Strategy Agent. All raw results, prompt files, and benchmark scripts are version-controlled in the Phase_0_Infrastructure repository.</w:t>
            </w:r>
          </w:p>
        </w:tc>
      </w:tr>
    </w:tbl>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Calibri" w:cs="Calibri" w:eastAsia="Calibri" w:hAnsi="Calibri"/>
        <w:color w:val="595959"/>
        <w:sz w:val="16"/>
        <w:szCs w:val="16"/>
      </w:rPr>
      <w:t xml:space="preserve">Muhammad Adeel &amp; Muhammad Asim  |  Dr. Laeeq Ahmed  |  CS&amp;IT UET Peshawar		</w:t>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Calibri" w:cs="Calibri" w:eastAsia="Calibri" w:hAnsi="Calibri"/>
        <w:color w:val="595959"/>
        <w:sz w:val="16"/>
        <w:szCs w:val="16"/>
      </w:rPr>
      <w:t xml:space="preserve">Phase 0 Evaluation Summary  |  LLM Strategy Agent Model Selection  |  UET Peshawar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8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60" w:before="20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2026-05-01T11:16:27.216Z</dcterms:created>
  <dcterms:modified xsi:type="dcterms:W3CDTF">2026-05-01T11:16:27.217Z</dcterms:modified>
</cp:coreProperties>
</file>

<file path=docProps/custom.xml><?xml version="1.0" encoding="utf-8"?>
<Properties xmlns="http://schemas.openxmlformats.org/officeDocument/2006/custom-properties" xmlns:vt="http://schemas.openxmlformats.org/officeDocument/2006/docPropsVTypes"/>
</file>