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pict>
          <v:group id="_x0000_s1030" o:spid="_x0000_s1030" o:spt="203" style="position:absolute;left:0pt;margin-left:0pt;margin-top:-0.15pt;height:58.25pt;width:250.2pt;z-index:251660288;mso-width-relative:page;mso-height-relative:page;" coordorigin="1797,1415" coordsize="5004,1165">
            <o:lock v:ext="edit"/>
            <v:shape id="_x0000_s1026" o:spid="_x0000_s1026" o:spt="202" type="#_x0000_t202" style="position:absolute;left:4295;top:1415;height:1162;width:2506;" fillcolor="#BFBFBF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  <w:color w:val="FFFFFF"/>
                        <w:szCs w:val="21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Cs w:val="21"/>
                      </w:rPr>
                      <w:t>您的移动物联网伙伴</w:t>
                    </w:r>
                  </w:p>
                  <w:p>
                    <w:pPr>
                      <w:wordWrap w:val="0"/>
                      <w:spacing w:line="276" w:lineRule="auto"/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>Your Mobile Computing partner</w:t>
                    </w:r>
                  </w:p>
                  <w:p/>
                </w:txbxContent>
              </v:textbox>
            </v:shape>
            <v:shape id="_x0000_s1027" o:spid="_x0000_s1027" o:spt="202" type="#_x0000_t202" style="position:absolute;left:1797;top:1418;height:1162;width:2506;" fillcolor="#FF0000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</w:p>
    <w:p>
      <w:pPr>
        <w:widowControl/>
        <w:spacing w:line="240" w:lineRule="exact"/>
        <w:jc w:val="center"/>
      </w:pPr>
      <w:r>
        <w:pict>
          <v:shape id="_x0000_s1033" o:spid="_x0000_s1033" o:spt="202" type="#_x0000_t202" style="position:absolute;left:0pt;margin-left:0pt;margin-top:236.7pt;height:164.8pt;width:398.7pt;mso-position-horizontal-relative:margin;mso-position-vertical-relative:margin;mso-wrap-distance-bottom:0pt;mso-wrap-distance-left:9pt;mso-wrap-distance-right:9pt;mso-wrap-distance-top:0pt;z-index:251663360;v-text-anchor:middle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72"/>
                    </w:rPr>
                  </w:pPr>
                  <w:r>
                    <w:rPr>
                      <w:rFonts w:hint="eastAsia" w:asciiTheme="majorHAnsi" w:hAnsiTheme="majorHAnsi"/>
                      <w:b/>
                      <w:sz w:val="72"/>
                      <w:szCs w:val="72"/>
                    </w:rPr>
                    <w:t>插件接口说明</w:t>
                  </w:r>
                </w:p>
              </w:txbxContent>
            </v:textbox>
            <w10:wrap type="square"/>
          </v:shape>
        </w:pict>
      </w:r>
      <w:r>
        <w:pict>
          <v:shape id="_x0000_s1034" o:spid="_x0000_s1034" o:spt="202" type="#_x0000_t202" style="position:absolute;left:0pt;margin-left:0pt;margin-top:617.4pt;height:49.65pt;width:173.85pt;mso-position-horizontal-relative:margin;mso-position-vertical-relative:margin;mso-wrap-distance-bottom:0pt;mso-wrap-distance-left:9pt;mso-wrap-distance-right:9pt;mso-wrap-distance-top:0pt;z-index:251664384;v-text-anchor:middle;mso-width-relative:page;mso-height-relative:page;" fillcolor="#F2F2F2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7F7F7F" w:themeColor="background1" w:themeShade="80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>
        <w:pict>
          <v:rect id="_x0000_s1035" o:spid="_x0000_s1035" o:spt="1" style="position:absolute;left:0pt;margin-left:-90.7pt;margin-top:575.5pt;height:78.35pt;width:595.25pt;z-index:251658240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-322580</wp:posOffset>
            </wp:positionV>
            <wp:extent cx="933450" cy="676275"/>
            <wp:effectExtent l="0" t="0" r="0" b="0"/>
            <wp:wrapNone/>
            <wp:docPr id="13" name="图片 8" descr="C:\Users\Administrator\Desktop\未标题-1ZZ 拷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C:\Users\Administrator\Desktop\未标题-1ZZ 拷贝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502" cy="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tbl>
      <w:tblPr>
        <w:tblStyle w:val="10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76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日期</w:t>
            </w:r>
          </w:p>
        </w:tc>
        <w:tc>
          <w:tcPr>
            <w:tcW w:w="57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  <w:r>
              <w:rPr>
                <w:rFonts w:hint="eastAsia"/>
              </w:rPr>
              <w:t>张明</w:t>
            </w:r>
          </w:p>
        </w:tc>
        <w:tc>
          <w:tcPr>
            <w:tcW w:w="1260" w:type="dxa"/>
          </w:tcPr>
          <w:p>
            <w:pPr>
              <w:pStyle w:val="18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5760" w:type="dxa"/>
          </w:tcPr>
          <w:p>
            <w:pPr>
              <w:pStyle w:val="18"/>
            </w:pPr>
            <w:r>
              <w:rPr>
                <w:rFonts w:hint="eastAsia"/>
              </w:rPr>
              <w:t>初次编写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  <w:r>
              <w:t>张明</w:t>
            </w:r>
          </w:p>
        </w:tc>
        <w:tc>
          <w:tcPr>
            <w:tcW w:w="1260" w:type="dxa"/>
          </w:tcPr>
          <w:p>
            <w:pPr>
              <w:pStyle w:val="18"/>
            </w:pPr>
            <w:r>
              <w:rPr>
                <w:rFonts w:hint="eastAsia"/>
              </w:rPr>
              <w:t>2017.12.28</w:t>
            </w:r>
          </w:p>
        </w:tc>
        <w:tc>
          <w:tcPr>
            <w:tcW w:w="5760" w:type="dxa"/>
          </w:tcPr>
          <w:p>
            <w:pPr>
              <w:pStyle w:val="18"/>
            </w:pPr>
            <w:r>
              <w:t>增加掩码selectCard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  <w:r>
              <w:rPr>
                <w:rFonts w:hint="eastAsia"/>
              </w:rPr>
              <w:t>许百茹</w:t>
            </w:r>
          </w:p>
        </w:tc>
        <w:tc>
          <w:tcPr>
            <w:tcW w:w="1260" w:type="dxa"/>
          </w:tcPr>
          <w:p>
            <w:pPr>
              <w:pStyle w:val="18"/>
            </w:pPr>
            <w:r>
              <w:rPr>
                <w:rFonts w:hint="eastAsia"/>
              </w:rPr>
              <w:t>2019</w:t>
            </w:r>
            <w:r>
              <w:t>/10/16</w:t>
            </w:r>
          </w:p>
        </w:tc>
        <w:tc>
          <w:tcPr>
            <w:tcW w:w="5760" w:type="dxa"/>
          </w:tcPr>
          <w:p>
            <w:pPr>
              <w:pStyle w:val="18"/>
              <w:rPr>
                <w:rFonts w:hint="eastAsia"/>
              </w:rPr>
            </w:pPr>
            <w:r>
              <w:rPr>
                <w:rFonts w:hint="eastAsia"/>
              </w:rPr>
              <w:t>1、更新jar包与so库 适配一芯模块，暂时只支持R2K与一芯模块，芯联模块不支持</w:t>
            </w:r>
          </w:p>
          <w:p>
            <w:pPr>
              <w:pStyle w:val="18"/>
            </w:pPr>
            <w:r>
              <w:rPr>
                <w:rFonts w:hint="eastAsia"/>
              </w:rPr>
              <w:t>2、读卡方法入参增加epc参数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张智超</w:t>
            </w: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2019/11/13</w:t>
            </w:r>
          </w:p>
        </w:tc>
        <w:tc>
          <w:tcPr>
            <w:tcW w:w="57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增加通话项session设置方法和获取方法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</w:tbl>
    <w:p>
      <w:pPr>
        <w:widowControl/>
        <w:spacing w:line="240" w:lineRule="exact"/>
      </w:pPr>
    </w:p>
    <w:p/>
    <w:p>
      <w:pPr>
        <w:rPr>
          <w:rFonts w:hint="eastAsia"/>
        </w:rPr>
      </w:pPr>
      <w:r>
        <w:br w:type="page"/>
      </w:r>
      <w:r>
        <w:rPr>
          <w:rFonts w:hint="eastAsia"/>
        </w:rPr>
        <w:t>注意事项</w:t>
      </w:r>
    </w:p>
    <w:p>
      <w:pPr>
        <w:pStyle w:val="9"/>
        <w:shd w:val="clear" w:color="auto" w:fill="FFFFFF"/>
        <w:rPr>
          <w:rFonts w:hint="eastAsia" w:ascii="Menlo" w:hAnsi="Menlo" w:cs="Menlo"/>
          <w:color w:val="000000"/>
          <w:sz w:val="27"/>
          <w:szCs w:val="27"/>
        </w:rPr>
      </w:pPr>
      <w:r>
        <w:rPr>
          <w:rFonts w:hint="eastAsia"/>
        </w:rPr>
        <w:t>需要指定ndk</w:t>
      </w:r>
    </w:p>
    <w:p>
      <w:pPr>
        <w:rPr>
          <w:rFonts w:hint="eastAsia" w:asciiTheme="minorHAnsi" w:hAnsiTheme="minorHAnsi" w:eastAsiaTheme="minorEastAsia" w:cstheme="minorBidi"/>
          <w:kern w:val="44"/>
          <w:sz w:val="44"/>
          <w:szCs w:val="44"/>
        </w:rPr>
      </w:pPr>
      <w:r>
        <w:rPr>
          <w:rFonts w:asciiTheme="minorHAnsi" w:hAnsiTheme="minorHAnsi" w:eastAsiaTheme="minorEastAsia" w:cstheme="minorBidi"/>
          <w:kern w:val="44"/>
          <w:sz w:val="44"/>
          <w:szCs w:val="44"/>
        </w:rPr>
        <w:drawing>
          <wp:inline distT="0" distB="0" distL="0" distR="0">
            <wp:extent cx="5278120" cy="132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159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2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"_Toc502224228" </w:instrText>
          </w:r>
          <w:r>
            <w:fldChar w:fldCharType="separate"/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_Toc502224228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"_Toc502224229"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openDev</w:t>
          </w:r>
          <w:r>
            <w:tab/>
          </w:r>
          <w:r>
            <w:fldChar w:fldCharType="begin"/>
          </w:r>
          <w:r>
            <w:instrText xml:space="preserve"> PAGEREF _Toc502224229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"_Toc502224230"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closeDev</w:t>
          </w:r>
          <w:r>
            <w:tab/>
          </w:r>
          <w:r>
            <w:fldChar w:fldCharType="begin"/>
          </w:r>
          <w:r>
            <w:instrText xml:space="preserve"> PAGEREF _Toc502224230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"_Toc502224231"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inventoryStart</w:t>
          </w:r>
          <w:r>
            <w:tab/>
          </w:r>
          <w:r>
            <w:fldChar w:fldCharType="begin"/>
          </w:r>
          <w:r>
            <w:instrText xml:space="preserve"> PAGEREF _Toc502224231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"_Toc502224232"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inventoryStop</w:t>
          </w:r>
          <w:r>
            <w:tab/>
          </w:r>
          <w:r>
            <w:fldChar w:fldCharType="begin"/>
          </w:r>
          <w:r>
            <w:instrText xml:space="preserve"> PAGEREF _Toc502224232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"_Toc502224233" </w:instrText>
          </w:r>
          <w:r>
            <w:fldChar w:fldCharType="separate"/>
          </w:r>
          <w:r>
            <w:rPr>
              <w:rStyle w:val="14"/>
            </w:rPr>
            <w:t>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getInventoryResult</w:t>
          </w:r>
          <w:r>
            <w:tab/>
          </w:r>
          <w:r>
            <w:fldChar w:fldCharType="begin"/>
          </w:r>
          <w:r>
            <w:instrText xml:space="preserve"> PAGEREF _Toc502224233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"_Toc502224234" </w:instrText>
          </w:r>
          <w:r>
            <w:fldChar w:fldCharType="separate"/>
          </w:r>
          <w:r>
            <w:rPr>
              <w:rStyle w:val="14"/>
            </w:rPr>
            <w:t>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ascii="Calibri" w:hAnsi="Calibri"/>
            </w:rPr>
            <w:t>readArea</w:t>
          </w:r>
          <w:r>
            <w:tab/>
          </w:r>
          <w:r>
            <w:fldChar w:fldCharType="begin"/>
          </w:r>
          <w:r>
            <w:instrText xml:space="preserve"> PAGEREF _Toc502224234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"_Toc502224235" </w:instrText>
          </w:r>
          <w:r>
            <w:fldChar w:fldCharType="separate"/>
          </w:r>
          <w:r>
            <w:rPr>
              <w:rStyle w:val="14"/>
            </w:rPr>
            <w:t>7.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getReadAreaResult</w:t>
          </w:r>
          <w:r>
            <w:tab/>
          </w:r>
          <w:r>
            <w:fldChar w:fldCharType="begin"/>
          </w:r>
          <w:r>
            <w:instrText xml:space="preserve"> PAGEREF _Toc502224235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"_Toc502224236" </w:instrText>
          </w:r>
          <w:r>
            <w:fldChar w:fldCharType="separate"/>
          </w:r>
          <w:r>
            <w:rPr>
              <w:rStyle w:val="14"/>
            </w:rPr>
            <w:t>8.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ascii="Calibri" w:hAnsi="Calibri"/>
            </w:rPr>
            <w:t>writeArea</w:t>
          </w:r>
          <w:r>
            <w:tab/>
          </w:r>
          <w:r>
            <w:fldChar w:fldCharType="begin"/>
          </w:r>
          <w:r>
            <w:instrText xml:space="preserve"> PAGEREF _Toc502224236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"_Toc502224237" </w:instrText>
          </w:r>
          <w:r>
            <w:fldChar w:fldCharType="separate"/>
          </w:r>
          <w:r>
            <w:rPr>
              <w:rStyle w:val="14"/>
            </w:rPr>
            <w:t>9.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getWriteAreaResult</w:t>
          </w:r>
          <w:r>
            <w:tab/>
          </w:r>
          <w:r>
            <w:fldChar w:fldCharType="begin"/>
          </w:r>
          <w:r>
            <w:instrText xml:space="preserve"> PAGEREF _Toc502224237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"_Toc502224238" </w:instrText>
          </w:r>
          <w:r>
            <w:fldChar w:fldCharType="separate"/>
          </w:r>
          <w:r>
            <w:rPr>
              <w:rStyle w:val="14"/>
            </w:rPr>
            <w:t>10.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ascii="Calibri" w:hAnsi="Calibri"/>
            </w:rPr>
            <w:t>setAntennaPower</w:t>
          </w:r>
          <w:r>
            <w:tab/>
          </w:r>
          <w:r>
            <w:fldChar w:fldCharType="begin"/>
          </w:r>
          <w:r>
            <w:instrText xml:space="preserve"> PAGEREF _Toc502224238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"_Toc502224239" </w:instrText>
          </w:r>
          <w:r>
            <w:fldChar w:fldCharType="separate"/>
          </w:r>
          <w:r>
            <w:rPr>
              <w:rStyle w:val="14"/>
            </w:rPr>
            <w:t>11.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ascii="Calibri" w:hAnsi="Calibri"/>
            </w:rPr>
            <w:t>get</w:t>
          </w:r>
          <w:r>
            <w:rPr>
              <w:rStyle w:val="14"/>
            </w:rPr>
            <w:t xml:space="preserve"> </w:t>
          </w:r>
          <w:r>
            <w:rPr>
              <w:rStyle w:val="14"/>
              <w:rFonts w:ascii="Calibri" w:hAnsi="Calibri"/>
            </w:rPr>
            <w:t>AntennaPower</w:t>
          </w:r>
          <w:r>
            <w:tab/>
          </w:r>
          <w:r>
            <w:fldChar w:fldCharType="begin"/>
          </w:r>
          <w:r>
            <w:instrText xml:space="preserve"> PAGEREF _Toc502224239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"_Toc502224240" </w:instrText>
          </w:r>
          <w:r>
            <w:fldChar w:fldCharType="separate"/>
          </w:r>
          <w:r>
            <w:rPr>
              <w:rStyle w:val="14"/>
            </w:rPr>
            <w:t>12.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ascii="Calibri" w:hAnsi="Calibri"/>
            </w:rPr>
            <w:t>set</w:t>
          </w:r>
          <w:r>
            <w:rPr>
              <w:rStyle w:val="14"/>
            </w:rPr>
            <w:t xml:space="preserve"> </w:t>
          </w:r>
          <w:r>
            <w:rPr>
              <w:rStyle w:val="14"/>
              <w:rFonts w:ascii="Calibri" w:hAnsi="Calibri"/>
            </w:rPr>
            <w:t>FreqRegion</w:t>
          </w:r>
          <w:r>
            <w:tab/>
          </w:r>
          <w:r>
            <w:fldChar w:fldCharType="begin"/>
          </w:r>
          <w:r>
            <w:instrText xml:space="preserve"> PAGEREF _Toc502224240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"_Toc502224241" </w:instrText>
          </w:r>
          <w:r>
            <w:fldChar w:fldCharType="separate"/>
          </w:r>
          <w:r>
            <w:rPr>
              <w:rStyle w:val="14"/>
            </w:rPr>
            <w:t>13.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  <w:rFonts w:ascii="Calibri" w:hAnsi="Calibri"/>
            </w:rPr>
            <w:t>get</w:t>
          </w:r>
          <w:r>
            <w:rPr>
              <w:rStyle w:val="14"/>
            </w:rPr>
            <w:t xml:space="preserve"> </w:t>
          </w:r>
          <w:r>
            <w:rPr>
              <w:rStyle w:val="14"/>
              <w:rFonts w:ascii="Calibri" w:hAnsi="Calibri"/>
            </w:rPr>
            <w:t>FreqRegion</w:t>
          </w:r>
          <w:r>
            <w:tab/>
          </w:r>
          <w:r>
            <w:fldChar w:fldCharType="begin"/>
          </w:r>
          <w:r>
            <w:instrText xml:space="preserve"> PAGEREF _Toc502224241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"_Toc502224242" </w:instrText>
          </w:r>
          <w:r>
            <w:fldChar w:fldCharType="separate"/>
          </w:r>
          <w:r>
            <w:rPr>
              <w:rStyle w:val="14"/>
            </w:rPr>
            <w:t>14.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4"/>
            </w:rPr>
            <w:t>selectCard</w:t>
          </w:r>
          <w:r>
            <w:tab/>
          </w:r>
          <w:r>
            <w:fldChar w:fldCharType="begin"/>
          </w:r>
          <w:r>
            <w:instrText xml:space="preserve"> PAGEREF _Toc502224242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szCs w:val="21"/>
            </w:rPr>
          </w:pPr>
          <w:r>
            <w:fldChar w:fldCharType="end"/>
          </w:r>
        </w:p>
        <w:p/>
      </w:sdtContent>
    </w:sdt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0" w:name="_Toc502224228"/>
      <w:bookmarkStart w:id="1" w:name="_Toc416444450"/>
      <w:bookmarkStart w:id="2" w:name="_Toc416444587"/>
      <w:bookmarkStart w:id="3" w:name="_Toc416444594"/>
      <w:bookmarkStart w:id="4" w:name="_Toc416444363"/>
      <w:r>
        <w:rPr>
          <w:rFonts w:hint="eastAsia"/>
          <w:sz w:val="28"/>
          <w:szCs w:val="28"/>
        </w:rPr>
        <w:t>API说明</w:t>
      </w:r>
      <w:bookmarkEnd w:id="0"/>
      <w:bookmarkEnd w:id="1"/>
      <w:bookmarkEnd w:id="2"/>
      <w:bookmarkEnd w:id="3"/>
      <w:bookmarkEnd w:id="4"/>
    </w:p>
    <w:p>
      <w:r>
        <w:rPr>
          <w:rFonts w:hint="eastAsia"/>
        </w:rPr>
        <w:t>模块不支持同时操作，操作不能同时进行，比如： 盘点时不能操作读卡写卡等等。。。</w:t>
      </w: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5" w:name="_Toc502224229"/>
      <w:r>
        <w:rPr>
          <w:rFonts w:hint="eastAsia"/>
          <w:sz w:val="24"/>
        </w:rPr>
        <w:t>openDev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openDev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初始化串口上电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6" w:name="_Toc502224230"/>
      <w:r>
        <w:rPr>
          <w:rFonts w:hint="eastAsia"/>
          <w:sz w:val="24"/>
        </w:rPr>
        <w:t>closeDev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closeDev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关闭串口下电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7" w:name="_Toc502224231"/>
      <w:r>
        <w:rPr>
          <w:sz w:val="24"/>
        </w:rPr>
        <w:t>inventoryStart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inventoryStart: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开始盘点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8" w:name="_Toc502224232"/>
      <w:r>
        <w:rPr>
          <w:sz w:val="24"/>
        </w:rPr>
        <w:t>inventoryStop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inventoryStop: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停止盘点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spacing w:before="0" w:after="0" w:line="240" w:lineRule="auto"/>
        <w:outlineLvl w:val="1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9" w:name="_Toc502224233"/>
      <w:bookmarkStart w:id="10" w:name="OLE_LINK3"/>
      <w:bookmarkStart w:id="11" w:name="OLE_LINK4"/>
      <w:r>
        <w:rPr>
          <w:sz w:val="24"/>
        </w:rPr>
        <w:t>getInventoryResult</w:t>
      </w:r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getInventoryResult: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拿到盘点数据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成功回调返回json字符串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“epc”卡片epc（16进制）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“rssi” 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/>
    <w:bookmarkEnd w:id="10"/>
    <w:bookmarkEnd w:id="11"/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2" w:name="_Toc502224234"/>
      <w:r>
        <w:rPr>
          <w:rFonts w:hint="eastAsia" w:ascii="Calibri" w:hAnsi="Calibri"/>
          <w:sz w:val="24"/>
        </w:rPr>
        <w:t>readArea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readArea: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参数说明：1、int读卡区域（0 保留区 1 EPC区 2 TID区 3 USER区）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2、int起始地址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3、int读取块数</w:t>
            </w:r>
          </w:p>
          <w:p>
            <w:p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4、string密码</w:t>
            </w: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rFonts w:hint="eastAsia" w:ascii="Courier New" w:hAnsi="Courier New" w:cs="Courier New" w:eastAsiaTheme="minorEastAsia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  </w:t>
            </w:r>
            <w:r>
              <w:rPr>
                <w:rFonts w:hint="eastAsia" w:ascii="Courier New" w:hAnsi="Courier New" w:cs="Courier New" w:eastAsiaTheme="minorEastAsia"/>
                <w:color w:val="FF0000"/>
                <w:kern w:val="0"/>
                <w:sz w:val="20"/>
                <w:szCs w:val="20"/>
              </w:rPr>
              <w:t xml:space="preserve">  5、要读卡片的EPC （可以通过盘点获取EPC）</w:t>
            </w:r>
          </w:p>
          <w:p>
            <w:p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/>
                <w:szCs w:val="21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rFonts w:hint="eastAsia"/>
                <w:szCs w:val="21"/>
              </w:rPr>
            </w:pP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3" w:name="_Toc502224235"/>
      <w:r>
        <w:rPr>
          <w:sz w:val="24"/>
        </w:rPr>
        <w:t>getReadAreaResult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getReadAreaResult: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拿到读取数据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回调返回json字符串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“status”读取成功与否（0为成功） int 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“EPCData” 目标卡片epc  byte数组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“EPCLen” epc长度 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“ReadData” 读取数据信息  byte数组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“DataLen” 读取信息长度 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“RSS” 信号强度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spacing w:before="0" w:after="0" w:line="240" w:lineRule="auto"/>
        <w:ind w:left="360" w:firstLine="0" w:firstLineChars="0"/>
        <w:outlineLvl w:val="1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4" w:name="_Toc502224236"/>
      <w:r>
        <w:rPr>
          <w:rFonts w:hint="eastAsia" w:ascii="Calibri" w:hAnsi="Calibri"/>
          <w:sz w:val="24"/>
        </w:rPr>
        <w:t>writeArea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writeArea: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写卡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bookmarkStart w:id="15" w:name="OLE_LINK6"/>
            <w:bookmarkStart w:id="16" w:name="OLE_LINK5"/>
            <w:r>
              <w:rPr>
                <w:rFonts w:hint="eastAsia"/>
                <w:szCs w:val="21"/>
              </w:rPr>
              <w:t>sendData</w:t>
            </w:r>
            <w:bookmarkEnd w:id="15"/>
            <w:bookmarkEnd w:id="16"/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参数说明：1、int写卡区域（0 保留区 1 EPC区 2 TID区 3 USER区）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2、int起始地址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3、string密码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    4、string内容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7" w:name="_Toc502224237"/>
      <w:r>
        <w:rPr>
          <w:sz w:val="24"/>
        </w:rPr>
        <w:t>getWriteAreaResult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getWriteAreaResult: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拿到读取数据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成功回调返回json字符串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“status”写入成功与否（0为成功）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“EPCData” 目标卡片epc  byte数组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“EPCLen” epc长度 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“RSS” 信号强度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spacing w:before="0" w:after="0" w:line="240" w:lineRule="auto"/>
        <w:ind w:left="360" w:firstLine="0" w:firstLineChars="0"/>
        <w:outlineLvl w:val="1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8" w:name="_Toc502224238"/>
      <w:r>
        <w:rPr>
          <w:rFonts w:hint="eastAsia" w:ascii="Calibri" w:hAnsi="Calibri"/>
          <w:sz w:val="24"/>
        </w:rPr>
        <w:t>set</w:t>
      </w:r>
      <w:r>
        <w:rPr>
          <w:rFonts w:ascii="Calibri" w:hAnsi="Calibri"/>
          <w:sz w:val="24"/>
        </w:rPr>
        <w:t>AntennaPower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setAntennaPower: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设置天线功率（3992模块传参0代表false 1代表true）,（旗联-FLX模块取值为19-30）其他0-30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1、功率值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9" w:name="_Toc502224239"/>
      <w:r>
        <w:rPr>
          <w:rFonts w:hint="eastAsia" w:ascii="Calibri" w:hAnsi="Calibri"/>
          <w:sz w:val="24"/>
        </w:rPr>
        <w:t>get</w:t>
      </w:r>
      <w:r>
        <w:rPr>
          <w:rFonts w:ascii="Calibri" w:hAnsi="Calibri"/>
          <w:sz w:val="24"/>
        </w:rPr>
        <w:t>AntennaPower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getAntennaPower: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读取当前天线功率值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0" w:name="_Toc502224240"/>
      <w:r>
        <w:rPr>
          <w:rFonts w:hint="eastAsia" w:ascii="Calibri" w:hAnsi="Calibri"/>
          <w:sz w:val="24"/>
        </w:rPr>
        <w:t>set</w:t>
      </w:r>
      <w:r>
        <w:rPr>
          <w:rFonts w:ascii="Calibri" w:hAnsi="Calibri"/>
          <w:sz w:val="24"/>
        </w:rPr>
        <w:t>FreqRegion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setFreqRegion: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设置频率区域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bookmarkStart w:id="21" w:name="OLE_LINK8"/>
            <w:bookmarkStart w:id="22" w:name="OLE_LINK7"/>
            <w:r>
              <w:rPr>
                <w:rFonts w:hint="eastAsia"/>
                <w:szCs w:val="21"/>
              </w:rPr>
              <w:t>sendData</w:t>
            </w:r>
            <w:bookmarkEnd w:id="21"/>
            <w:bookmarkEnd w:id="22"/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1、int 频率区域</w:t>
            </w:r>
            <w:r>
              <w:rPr>
                <w:rFonts w:hint="eastAsia" w:ascii="微软雅黑" w:hAnsi="微软雅黑" w:eastAsia="微软雅黑"/>
                <w:color w:val="333333"/>
                <w:sz w:val="20"/>
                <w:szCs w:val="20"/>
                <w:shd w:val="clear" w:color="auto" w:fill="FFFFFF"/>
              </w:rPr>
              <w:t>取值可以为 0（840_845）, 1（920_925）,2（902_928），3（865_868）（部分模块支持不全）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3" w:name="_Toc502224241"/>
      <w:r>
        <w:rPr>
          <w:rFonts w:hint="eastAsia" w:ascii="Calibri" w:hAnsi="Calibri"/>
          <w:sz w:val="24"/>
        </w:rPr>
        <w:t>get</w:t>
      </w:r>
      <w:r>
        <w:rPr>
          <w:rFonts w:ascii="Calibri" w:hAnsi="Calibri"/>
          <w:sz w:val="24"/>
        </w:rPr>
        <w:t>FreqRegion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getFreqRegion: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获取当前频率区域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4" w:name="_Toc502224242"/>
      <w:r>
        <w:rPr>
          <w:sz w:val="24"/>
        </w:rPr>
        <w:t>selectCard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selectCard: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选卡（掩码）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pStyle w:val="20"/>
              <w:numPr>
                <w:ilvl w:val="0"/>
                <w:numId w:val="2"/>
              </w:numPr>
              <w:spacing w:before="0" w:after="0"/>
              <w:ind w:firstLineChars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boolean 是否掩码 true掩码 false取消掩码（不想操作指定卡片时需要取消掩码）</w:t>
            </w:r>
          </w:p>
          <w:p>
            <w:pPr>
              <w:pStyle w:val="20"/>
              <w:numPr>
                <w:ilvl w:val="0"/>
                <w:numId w:val="2"/>
              </w:numPr>
              <w:spacing w:before="0" w:after="0"/>
              <w:ind w:firstLineChars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string 要掩码的卡片epc信息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r>
        <w:rPr>
          <w:rFonts w:hint="eastAsia"/>
          <w:sz w:val="24"/>
          <w:lang w:val="en-US" w:eastAsia="zh-CN"/>
        </w:rPr>
        <w:t>setQueryTagGroup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setQueryTagGroup</w:t>
            </w:r>
            <w:r>
              <w:rPr>
                <w:szCs w:val="21"/>
              </w:rPr>
              <w:t xml:space="preserve">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设置频率区域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numPr>
                <w:ilvl w:val="0"/>
                <w:numId w:val="3"/>
              </w:num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int </w:t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选择模式，默认为0</w:t>
            </w:r>
          </w:p>
          <w:p>
            <w:pPr>
              <w:numPr>
                <w:ilvl w:val="0"/>
                <w:numId w:val="3"/>
              </w:numPr>
              <w:spacing w:before="0" w:after="0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int session值，0(s0)、1(s1)、2(s2)、3(s3)</w:t>
            </w:r>
          </w:p>
          <w:p>
            <w:pPr>
              <w:numPr>
                <w:ilvl w:val="0"/>
                <w:numId w:val="3"/>
              </w:numPr>
              <w:spacing w:before="0" w:after="0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int 默认为</w:t>
            </w:r>
            <w:bookmarkStart w:id="25" w:name="_GoBack"/>
            <w:bookmarkEnd w:id="25"/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r>
        <w:rPr>
          <w:rFonts w:hint="eastAsia" w:ascii="Calibri" w:hAnsi="Calibri"/>
          <w:sz w:val="24"/>
        </w:rPr>
        <w:t>get</w:t>
      </w:r>
      <w:r>
        <w:rPr>
          <w:rFonts w:hint="eastAsia"/>
          <w:sz w:val="24"/>
          <w:lang w:val="en-US" w:eastAsia="zh-CN"/>
        </w:rPr>
        <w:t>QueryTagGroup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getQueryTagGroup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获取当前频率区域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/>
    <w:p/>
    <w:p/>
    <w:p>
      <w:pPr>
        <w:widowControl/>
        <w:spacing w:line="240" w:lineRule="exact"/>
      </w:pPr>
    </w:p>
    <w:sectPr>
      <w:headerReference r:id="rId3" w:type="default"/>
      <w:footerReference r:id="rId4" w:type="default"/>
      <w:pgSz w:w="11906" w:h="16838"/>
      <w:pgMar w:top="1418" w:right="1797" w:bottom="1440" w:left="1797" w:header="935" w:footer="369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6" w:space="1"/>
      </w:pBdr>
      <w:spacing w:after="0"/>
      <w:ind w:right="360"/>
      <w:rPr>
        <w:kern w:val="0"/>
      </w:rPr>
    </w:pPr>
    <w:r>
      <w:rPr>
        <w:rFonts w:hint="eastAsia"/>
      </w:rPr>
      <w:t>北京思必拓科技股份有限公司</w:t>
    </w:r>
    <w:r>
      <w:t xml:space="preserve">Beijing Speedata </w:t>
    </w:r>
    <w:r>
      <w:rPr>
        <w:rFonts w:hint="eastAsia"/>
      </w:rPr>
      <w:t>T</w:t>
    </w:r>
    <w:r>
      <w:t>echnology Co.,Ltd</w:t>
    </w:r>
  </w:p>
  <w:p>
    <w:pPr>
      <w:pStyle w:val="5"/>
      <w:spacing w:after="0" w:line="240" w:lineRule="auto"/>
    </w:pPr>
    <w:r>
      <w:rPr>
        <w:rFonts w:hint="eastAsia"/>
      </w:rPr>
      <w:t>北京市海淀区上地六街28号志远大厦2号楼（光正中心）一层南侧</w:t>
    </w:r>
    <w:r>
      <w:rPr>
        <w:rFonts w:hint="eastAsia"/>
        <w:kern w:val="0"/>
      </w:rPr>
      <w:t>第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  <w:r>
      <w:rPr>
        <w:rStyle w:val="13"/>
        <w:rFonts w:hint="eastAsia"/>
      </w:rPr>
      <w:t>页，共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7</w:t>
    </w:r>
    <w:r>
      <w:rPr>
        <w:rStyle w:val="13"/>
      </w:rPr>
      <w:fldChar w:fldCharType="end"/>
    </w:r>
    <w:r>
      <w:rPr>
        <w:rStyle w:val="13"/>
        <w:rFonts w:hint="eastAsia"/>
      </w:rPr>
      <w:t>页</w:t>
    </w:r>
  </w:p>
  <w:p>
    <w:pPr>
      <w:pStyle w:val="5"/>
    </w:pPr>
    <w:r>
      <w:t>T:(86)010 8234 6858  F:(86)010 8234 6858</w:t>
    </w:r>
    <w:r>
      <w:rPr>
        <w:spacing w:val="37"/>
        <w:kern w:val="0"/>
        <w:fitText w:val="1800" w:id="0"/>
      </w:rPr>
      <w:t>www.speedata.c</w:t>
    </w:r>
    <w:r>
      <w:rPr>
        <w:spacing w:val="13"/>
        <w:kern w:val="0"/>
        <w:fitText w:val="1800" w:id="0"/>
      </w:rPr>
      <w:t>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115"/>
      </w:tabs>
      <w:jc w:val="left"/>
    </w:pPr>
    <w:r>
      <w:tab/>
    </w:r>
    <w:r>
      <w:tab/>
    </w:r>
    <w:r>
      <w:tab/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-355600</wp:posOffset>
          </wp:positionV>
          <wp:extent cx="781050" cy="542925"/>
          <wp:effectExtent l="19050" t="0" r="0" b="0"/>
          <wp:wrapNone/>
          <wp:docPr id="7" name="图片 5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44CC5"/>
    <w:multiLevelType w:val="singleLevel"/>
    <w:tmpl w:val="97744C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624DE9"/>
    <w:multiLevelType w:val="multilevel"/>
    <w:tmpl w:val="04624D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232DC0"/>
    <w:multiLevelType w:val="multilevel"/>
    <w:tmpl w:val="06232D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2AA5"/>
    <w:rsid w:val="000324D2"/>
    <w:rsid w:val="00057989"/>
    <w:rsid w:val="00060132"/>
    <w:rsid w:val="00064E80"/>
    <w:rsid w:val="00073074"/>
    <w:rsid w:val="000A18EE"/>
    <w:rsid w:val="000E5217"/>
    <w:rsid w:val="001049D3"/>
    <w:rsid w:val="001912EC"/>
    <w:rsid w:val="001B6021"/>
    <w:rsid w:val="002118AC"/>
    <w:rsid w:val="00230C6E"/>
    <w:rsid w:val="00275D04"/>
    <w:rsid w:val="002878D4"/>
    <w:rsid w:val="002B18AA"/>
    <w:rsid w:val="00340E0A"/>
    <w:rsid w:val="003B6087"/>
    <w:rsid w:val="00411DC4"/>
    <w:rsid w:val="00440C27"/>
    <w:rsid w:val="0048474D"/>
    <w:rsid w:val="004A7B86"/>
    <w:rsid w:val="004C2668"/>
    <w:rsid w:val="00502DE7"/>
    <w:rsid w:val="0053046D"/>
    <w:rsid w:val="005B0626"/>
    <w:rsid w:val="00604A50"/>
    <w:rsid w:val="006D1F20"/>
    <w:rsid w:val="00783AF2"/>
    <w:rsid w:val="00795D29"/>
    <w:rsid w:val="007C417A"/>
    <w:rsid w:val="007D44B1"/>
    <w:rsid w:val="00804169"/>
    <w:rsid w:val="008139B9"/>
    <w:rsid w:val="008A2AA5"/>
    <w:rsid w:val="008A5E3D"/>
    <w:rsid w:val="008C0664"/>
    <w:rsid w:val="008F67C3"/>
    <w:rsid w:val="00964766"/>
    <w:rsid w:val="009879B3"/>
    <w:rsid w:val="009A01F6"/>
    <w:rsid w:val="009D46BA"/>
    <w:rsid w:val="009E1021"/>
    <w:rsid w:val="00A22FF2"/>
    <w:rsid w:val="00A3165A"/>
    <w:rsid w:val="00A44498"/>
    <w:rsid w:val="00A84B83"/>
    <w:rsid w:val="00AA0426"/>
    <w:rsid w:val="00AD733F"/>
    <w:rsid w:val="00B0112E"/>
    <w:rsid w:val="00B03F22"/>
    <w:rsid w:val="00BB4764"/>
    <w:rsid w:val="00BB5614"/>
    <w:rsid w:val="00BE1178"/>
    <w:rsid w:val="00C109F7"/>
    <w:rsid w:val="00C30050"/>
    <w:rsid w:val="00C36265"/>
    <w:rsid w:val="00C93632"/>
    <w:rsid w:val="00CC7780"/>
    <w:rsid w:val="00D033D8"/>
    <w:rsid w:val="00D26010"/>
    <w:rsid w:val="00D50384"/>
    <w:rsid w:val="00DB24F0"/>
    <w:rsid w:val="00DB2C48"/>
    <w:rsid w:val="00DE08F1"/>
    <w:rsid w:val="00E755AA"/>
    <w:rsid w:val="00E95910"/>
    <w:rsid w:val="00F17C2C"/>
    <w:rsid w:val="00F50E46"/>
    <w:rsid w:val="00F708DC"/>
    <w:rsid w:val="00F91446"/>
    <w:rsid w:val="00FC4071"/>
    <w:rsid w:val="3FD11A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36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semiHidden/>
    <w:unhideWhenUsed/>
    <w:uiPriority w:val="99"/>
    <w:rPr>
      <w:rFonts w:ascii="宋体"/>
      <w:sz w:val="24"/>
    </w:rPr>
  </w:style>
  <w:style w:type="paragraph" w:styleId="4">
    <w:name w:val="Balloon Text"/>
    <w:basedOn w:val="1"/>
    <w:link w:val="17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 w:eastAsiaTheme="minorEastAsia"/>
      <w:kern w:val="0"/>
      <w:sz w:val="20"/>
      <w:szCs w:val="20"/>
    </w:rPr>
  </w:style>
  <w:style w:type="table" w:styleId="11">
    <w:name w:val="Table Grid"/>
    <w:basedOn w:val="10"/>
    <w:uiPriority w:val="59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unhideWhenUsed/>
    <w:uiPriority w:val="99"/>
    <w:rPr>
      <w:color w:val="0000FF" w:themeColor="hyperlink"/>
      <w:u w:val="single"/>
    </w:rPr>
  </w:style>
  <w:style w:type="character" w:customStyle="1" w:styleId="15">
    <w:name w:val="页眉字符"/>
    <w:basedOn w:val="12"/>
    <w:link w:val="6"/>
    <w:semiHidden/>
    <w:uiPriority w:val="99"/>
    <w:rPr>
      <w:sz w:val="18"/>
      <w:szCs w:val="18"/>
    </w:rPr>
  </w:style>
  <w:style w:type="character" w:customStyle="1" w:styleId="16">
    <w:name w:val="页脚字符"/>
    <w:basedOn w:val="12"/>
    <w:link w:val="5"/>
    <w:uiPriority w:val="99"/>
    <w:rPr>
      <w:sz w:val="18"/>
      <w:szCs w:val="18"/>
    </w:rPr>
  </w:style>
  <w:style w:type="character" w:customStyle="1" w:styleId="17">
    <w:name w:val="批注框文本字符"/>
    <w:basedOn w:val="12"/>
    <w:link w:val="4"/>
    <w:semiHidden/>
    <w:uiPriority w:val="99"/>
    <w:rPr>
      <w:sz w:val="18"/>
      <w:szCs w:val="18"/>
    </w:rPr>
  </w:style>
  <w:style w:type="paragraph" w:customStyle="1" w:styleId="18">
    <w:name w:val="表格正文"/>
    <w:basedOn w:val="1"/>
    <w:uiPriority w:val="0"/>
    <w:pPr>
      <w:spacing w:before="0" w:after="0"/>
      <w:textAlignment w:val="baseline"/>
    </w:pPr>
  </w:style>
  <w:style w:type="paragraph" w:customStyle="1" w:styleId="19">
    <w:name w:val="表格标题"/>
    <w:basedOn w:val="18"/>
    <w:next w:val="18"/>
    <w:uiPriority w:val="0"/>
    <w:pPr>
      <w:jc w:val="center"/>
    </w:pPr>
    <w:rPr>
      <w:b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文档结构图字符"/>
    <w:basedOn w:val="12"/>
    <w:link w:val="3"/>
    <w:semiHidden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4">
    <w:name w:val="HTML 预设格式字符"/>
    <w:basedOn w:val="12"/>
    <w:link w:val="9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33"/>
    <customShpInfo spid="_x0000_s1034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65AD4-3F49-594D-A364-03E0ED9C57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3665</Characters>
  <Lines>30</Lines>
  <Paragraphs>8</Paragraphs>
  <TotalTime>7</TotalTime>
  <ScaleCrop>false</ScaleCrop>
  <LinksUpToDate>false</LinksUpToDate>
  <CharactersWithSpaces>4299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2015-04-10T08:40:00Z</dcterms:created>
  <dc:creator>geo</dc:creator>
  <cp:lastModifiedBy>My_PC</cp:lastModifiedBy>
  <dcterms:modified xsi:type="dcterms:W3CDTF">2019-11-13T07:27:03Z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