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jc w:val="center"/>
      </w:pPr>
      <w:r>
        <w:rPr>
          <w:rFonts w:ascii="Arial" w:hAnsi="Arial"/>
          <w:b/>
          <w:color w:val="404040"/>
          <w:sz w:val="24"/>
        </w:rPr>
        <w:t>INSPECTION &amp; SPECIFICATION SERVICES CC.</w:t>
      </w:r>
    </w:p>
    <w:p>
      <w:pPr>
        <w:spacing w:before="520"/>
        <w:jc w:val="center"/>
      </w:pPr>
      <w:r>
        <w:rPr>
          <w:rFonts w:ascii="Arial" w:hAnsi="Arial"/>
          <w:b/>
          <w:color w:val="17365D"/>
          <w:sz w:val="76"/>
        </w:rPr>
        <w:t>ISS</w:t>
      </w:r>
    </w:p>
    <w:p>
      <w:pPr>
        <w:jc w:val="center"/>
      </w:pPr>
      <w:r>
        <w:rPr>
          <w:rFonts w:ascii="Arial" w:hAnsi="Arial"/>
          <w:b/>
          <w:color w:val="2F5597"/>
          <w:sz w:val="28"/>
        </w:rPr>
        <w:t>CONTROLLED ENGINEERING INSPECTION REPORT</w:t>
      </w:r>
    </w:p>
    <w:p>
      <w:pPr>
        <w:spacing w:before="480"/>
        <w:jc w:val="center"/>
      </w:pPr>
      <w:r>
        <w:rPr>
          <w:rFonts w:ascii="Arial" w:hAnsi="Arial"/>
          <w:b/>
          <w:color w:val="17365D"/>
          <w:sz w:val="50"/>
        </w:rPr>
        <w:t>Combined-Product Spillage</w:t>
        <w:br/>
        <w:t>Inspection and Engineering Assessment Report</w:t>
      </w:r>
    </w:p>
    <w:p>
      <w:pPr>
        <w:spacing w:before="160"/>
        <w:jc w:val="center"/>
      </w:pPr>
      <w:r>
        <w:rPr>
          <w:rFonts w:ascii="Arial" w:hAnsi="Arial"/>
          <w:color w:val="404040"/>
          <w:sz w:val="22"/>
        </w:rPr>
        <w:t>South32 Wessels Mine · Surface and Underground Conveyor / Process Areas</w:t>
      </w:r>
    </w:p>
    <w:tbl>
      <w:tblPr>
        <w:tblW w:type="auto" w:w="0"/>
        <w:jc w:val="center"/>
        <w:tblLayout w:type="fixed"/>
        <w:tblLook w:firstColumn="1" w:firstRow="1" w:lastColumn="0" w:lastRow="0" w:noHBand="0" w:noVBand="1" w:val="04A0"/>
        <w:tblBorders>
          <w:top w:val="single" w:sz="10" w:color="D6B656"/>
          <w:left w:val="single" w:sz="10" w:color="D6B656"/>
          <w:bottom w:val="single" w:sz="10" w:color="D6B656"/>
          <w:right w:val="single" w:sz="10" w:color="D6B656"/>
          <w:insideH w:val="single" w:sz="10" w:color="D6B656"/>
          <w:insideV w:val="single" w:sz="10" w:color="D6B656"/>
        </w:tblBorders>
      </w:tblPr>
      <w:tblGrid>
        <w:gridCol w:w="5386"/>
      </w:tblGrid>
      <w:tr>
        <w:trPr>
          <w:cantSplit/>
          <w:cantSplit/>
        </w:trPr>
        <w:tc>
          <w:tcPr>
            <w:tcW w:type="dxa" w:w="9752"/>
            <w:shd w:fill="17365D"/>
            <w:vAlign w:val="center"/>
            <w:tcMar>
              <w:top w:w="80" w:type="dxa"/>
              <w:start w:w="90" w:type="dxa"/>
              <w:bottom w:w="80" w:type="dxa"/>
              <w:end w:w="90" w:type="dxa"/>
            </w:tcMar>
          </w:tcPr>
          <w:p>
            <w:r>
              <w:rPr>
                <w:color w:val="FFFFFF"/>
              </w:rPr>
            </w:r>
            <w:r>
              <w:rPr>
                <w:b/>
                <w:color w:val="FFFFFF"/>
                <w:sz w:val="22"/>
              </w:rPr>
              <w:t>COMPILATION DRAFT · REVISION 0.3 · NOT FOR ISSUE</w:t>
            </w:r>
          </w:p>
        </w:tc>
      </w:tr>
    </w:tbl>
    <w:p>
      <w:pPr>
        <w:spacing w:before="360"/>
      </w:pP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Client</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South32</w:t>
            </w:r>
          </w:p>
        </w:tc>
      </w:tr>
      <w:tr>
        <w:trPr>
          <w:cantSplit/>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Mine / site</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Wessels Mine</w:t>
            </w:r>
          </w:p>
        </w:tc>
      </w:tr>
      <w:tr>
        <w:trPr>
          <w:cantSplit/>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Area / system</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Combined-product handling and processing systems - selected surface and underground sections</w:t>
            </w:r>
          </w:p>
        </w:tc>
      </w:tr>
      <w:tr>
        <w:trPr>
          <w:cantSplit/>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Report number</w:t>
            </w:r>
          </w:p>
        </w:tc>
        <w:tc>
          <w:tcPr>
            <w:tcW w:type="dxa" w:w="5783"/>
            <w:vAlign w:val="center"/>
            <w:tcMar>
              <w:top w:w="80" w:type="dxa"/>
              <w:start w:w="90" w:type="dxa"/>
              <w:bottom w:w="80" w:type="dxa"/>
              <w:end w:w="90" w:type="dxa"/>
            </w:tcMar>
          </w:tcPr>
          <w:p>
            <w:r>
              <w:t>S32WPPSR-01</w:t>
            </w:r>
          </w:p>
        </w:tc>
      </w:tr>
      <w:tr>
        <w:trPr>
          <w:cantSplit/>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Revision</w:t>
            </w:r>
          </w:p>
        </w:tc>
        <w:tc>
          <w:tcPr>
            <w:tcW w:type="dxa" w:w="5783"/>
            <w:vAlign w:val="center"/>
            <w:tcMar>
              <w:top w:w="80" w:type="dxa"/>
              <w:start w:w="90" w:type="dxa"/>
              <w:bottom w:w="80" w:type="dxa"/>
              <w:end w:w="90" w:type="dxa"/>
            </w:tcMar>
          </w:tcPr>
          <w:p>
            <w:r/>
            <w:r>
              <w:rPr>
                <w:b w:val="0"/>
              </w:rPr>
              <w:t>0.3 - Compilation Draft</w:t>
            </w:r>
          </w:p>
        </w:tc>
      </w:tr>
      <w:tr>
        <w:trPr>
          <w:cantSplit/>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Issue date</w:t>
            </w:r>
          </w:p>
        </w:tc>
        <w:tc>
          <w:tcPr>
            <w:tcW w:type="dxa" w:w="5783"/>
            <w:vAlign w:val="center"/>
            <w:tcMar>
              <w:top w:w="80" w:type="dxa"/>
              <w:start w:w="90" w:type="dxa"/>
              <w:bottom w:w="80" w:type="dxa"/>
              <w:end w:w="90" w:type="dxa"/>
            </w:tcMar>
          </w:tcPr>
          <w:p>
            <w:r/>
            <w:r>
              <w:rPr>
                <w:b w:val="0"/>
              </w:rPr>
              <w:t>25 August 2026</w:t>
            </w:r>
          </w:p>
        </w:tc>
      </w:tr>
      <w:tr>
        <w:trPr>
          <w:cantSplit/>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Inspection date / range</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[INSPECTION DATE / DATE RANGE]</w:t>
            </w:r>
          </w:p>
        </w:tc>
      </w:tr>
      <w:tr>
        <w:trPr>
          <w:cantSplit/>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Prepared by</w:t>
            </w:r>
          </w:p>
        </w:tc>
        <w:tc>
          <w:tcPr>
            <w:tcW w:type="dxa" w:w="5783"/>
            <w:vAlign w:val="center"/>
            <w:tcMar>
              <w:top w:w="80" w:type="dxa"/>
              <w:start w:w="90" w:type="dxa"/>
              <w:bottom w:w="80" w:type="dxa"/>
              <w:end w:w="90" w:type="dxa"/>
            </w:tcMar>
          </w:tcPr>
          <w:p>
            <w:r>
              <w:t>Inspection &amp; Specification Services cc.</w:t>
            </w:r>
          </w:p>
        </w:tc>
      </w:tr>
    </w:tbl>
    <w:p>
      <w:pPr>
        <w:spacing w:before="440"/>
        <w:jc w:val="center"/>
      </w:pPr>
      <w:r>
        <w:rPr>
          <w:rFonts w:ascii="Arial" w:hAnsi="Arial"/>
          <w:color w:val="404040"/>
          <w:sz w:val="16"/>
        </w:rPr>
        <w:t>Inspection &amp; Specification Services cc.</w:t>
        <w:br/>
        <w:t>Reg. No. 1990/020258/23</w:t>
        <w:br/>
        <w:t>24 Jonkershoek Street, Vaalpark, 1947</w:t>
        <w:br/>
        <w:t>iss@inspecserv.co.za</w:t>
      </w:r>
    </w:p>
    <w:p>
      <w:r>
        <w:rPr>
          <w:rFonts w:ascii="Arial" w:hAnsi="Arial"/>
        </w:rPr>
        <w:br w:type="page"/>
      </w:r>
    </w:p>
    <w:p>
      <w:pPr>
        <w:pStyle w:val="Heading1"/>
        <w:keepNext/>
      </w:pPr>
      <w:r>
        <w:rPr>
          <w:rFonts w:ascii="Arial" w:hAnsi="Arial"/>
        </w:rPr>
        <w:t>Document Control and Metadata</w:t>
      </w:r>
    </w:p>
    <w:p>
      <w:pPr>
        <w:pStyle w:val="Caption"/>
        <w:keepNext w:val="0"/>
        <w:keepLines/>
        <w:spacing w:before="80" w:after="60"/>
      </w:pPr>
      <w:r>
        <w:rPr>
          <w:rFonts w:ascii="Arial" w:hAnsi="Arial"/>
          <w:b/>
          <w:color w:val="404040"/>
          <w:sz w:val="16"/>
        </w:rPr>
        <w:t>Table 1 - Document control and report metadata</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cantSplit/>
        </w:trPr>
        <w:tc>
          <w:tcPr>
            <w:tcW w:type="dxa" w:w="2721"/>
            <w:shd w:fill="17365D"/>
            <w:vAlign w:val="center"/>
            <w:tcMar>
              <w:top w:w="80" w:type="dxa"/>
              <w:start w:w="90" w:type="dxa"/>
              <w:bottom w:w="80" w:type="dxa"/>
              <w:end w:w="90" w:type="dxa"/>
            </w:tcMar>
          </w:tcPr>
          <w:p>
            <w:pPr>
              <w:spacing w:after="0" w:before="0"/>
              <w:jc w:val="center"/>
            </w:pPr>
            <w:r/>
            <w:r>
              <w:rPr>
                <w:rFonts w:ascii="Arial" w:hAnsi="Arial"/>
                <w:b/>
                <w:color w:val="FFFFFF"/>
                <w:sz w:val="16"/>
              </w:rPr>
              <w:t>Field</w:t>
            </w:r>
          </w:p>
        </w:tc>
        <w:tc>
          <w:tcPr>
            <w:tcW w:type="dxa" w:w="6633"/>
            <w:shd w:fill="17365D"/>
            <w:vAlign w:val="center"/>
            <w:tcMar>
              <w:top w:w="80" w:type="dxa"/>
              <w:start w:w="90" w:type="dxa"/>
              <w:bottom w:w="80" w:type="dxa"/>
              <w:end w:w="90" w:type="dxa"/>
            </w:tcMar>
          </w:tcPr>
          <w:p>
            <w:pPr>
              <w:spacing w:after="0" w:before="0"/>
              <w:jc w:val="center"/>
            </w:pPr>
            <w:r/>
            <w:r>
              <w:rPr>
                <w:rFonts w:ascii="Arial" w:hAnsi="Arial"/>
                <w:b/>
                <w:color w:val="FFFFFF"/>
                <w:sz w:val="16"/>
              </w:rPr>
              <w:t>Value</w:t>
            </w:r>
          </w:p>
        </w:tc>
      </w:tr>
      <w:tr>
        <w:trPr>
          <w:cantSplit/>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Report title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5"/>
              </w:rPr>
              <w:t>Combined-Product Spillage Inspection and Engineering Assessment Report</w:t>
            </w:r>
          </w:p>
        </w:tc>
      </w:tr>
      <w:tr>
        <w:trPr>
          <w:cantSplit/>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 number</w:t>
            </w:r>
          </w:p>
        </w:tc>
        <w:tc>
          <w:tcPr>
            <w:tcW w:type="dxa" w:w="6633"/>
            <w:vAlign w:val="center"/>
            <w:tcMar>
              <w:top w:w="80" w:type="dxa"/>
              <w:start w:w="90" w:type="dxa"/>
              <w:bottom w:w="80" w:type="dxa"/>
              <w:end w:w="90" w:type="dxa"/>
            </w:tcMar>
            <w:shd w:fill="F7F7F7"/>
          </w:tcPr>
          <w:p>
            <w:r>
              <w:t>S32WPPSR-01</w:t>
            </w:r>
          </w:p>
        </w:tc>
      </w:tr>
      <w:tr>
        <w:trPr>
          <w:cantSplit/>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Revision</w:t>
            </w:r>
          </w:p>
        </w:tc>
        <w:tc>
          <w:tcPr>
            <w:tcW w:type="dxa" w:w="6633"/>
            <w:vAlign w:val="center"/>
            <w:tcMar>
              <w:top w:w="80" w:type="dxa"/>
              <w:start w:w="90" w:type="dxa"/>
              <w:bottom w:w="80" w:type="dxa"/>
              <w:end w:w="90" w:type="dxa"/>
            </w:tcMar>
          </w:tcPr>
          <w:p>
            <w:r/>
            <w:r>
              <w:rPr>
                <w:b w:val="0"/>
              </w:rPr>
              <w:t>0.3</w:t>
            </w:r>
          </w:p>
        </w:tc>
      </w:tr>
      <w:tr>
        <w:trPr>
          <w:cantSplit/>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Issue status</w:t>
            </w:r>
          </w:p>
        </w:tc>
        <w:tc>
          <w:tcPr>
            <w:tcW w:type="dxa" w:w="6633"/>
            <w:vAlign w:val="center"/>
            <w:tcMar>
              <w:top w:w="80" w:type="dxa"/>
              <w:start w:w="90" w:type="dxa"/>
              <w:bottom w:w="80" w:type="dxa"/>
              <w:end w:w="90" w:type="dxa"/>
            </w:tcMar>
            <w:shd w:fill="F7F7F7"/>
          </w:tcPr>
          <w:p>
            <w:r/>
            <w:r>
              <w:rPr>
                <w:b w:val="0"/>
              </w:rPr>
              <w:t>Compilation Draft / Not for Issue</w:t>
            </w:r>
          </w:p>
        </w:tc>
      </w:tr>
      <w:tr>
        <w:trPr>
          <w:cantSplit/>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Issue date</w:t>
            </w:r>
          </w:p>
        </w:tc>
        <w:tc>
          <w:tcPr>
            <w:tcW w:type="dxa" w:w="6633"/>
            <w:vAlign w:val="center"/>
            <w:tcMar>
              <w:top w:w="80" w:type="dxa"/>
              <w:start w:w="90" w:type="dxa"/>
              <w:bottom w:w="80" w:type="dxa"/>
              <w:end w:w="90" w:type="dxa"/>
            </w:tcMar>
          </w:tcPr>
          <w:p>
            <w:r/>
            <w:r>
              <w:rPr>
                <w:b w:val="0"/>
              </w:rPr>
              <w:t>25 August 2026</w:t>
            </w:r>
          </w:p>
        </w:tc>
      </w:tr>
      <w:tr>
        <w:trPr>
          <w:cantSplit/>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Client</w:t>
            </w:r>
          </w:p>
        </w:tc>
        <w:tc>
          <w:tcPr>
            <w:tcW w:type="dxa" w:w="6633"/>
            <w:vAlign w:val="center"/>
            <w:tcMar>
              <w:top w:w="80" w:type="dxa"/>
              <w:start w:w="90" w:type="dxa"/>
              <w:bottom w:w="80" w:type="dxa"/>
              <w:end w:w="90" w:type="dxa"/>
            </w:tcMar>
            <w:shd w:fill="F7F7F7"/>
          </w:tcPr>
          <w:p>
            <w:pPr>
              <w:spacing w:after="0" w:before="0"/>
              <w:jc w:val="left"/>
            </w:pPr>
            <w:r/>
            <w:r>
              <w:rPr>
                <w:rFonts w:ascii="Arial" w:hAnsi="Arial"/>
                <w:b w:val="0"/>
                <w:color w:val="000000"/>
                <w:sz w:val="15"/>
              </w:rPr>
              <w:t>South32</w:t>
            </w:r>
          </w:p>
        </w:tc>
      </w:tr>
      <w:tr>
        <w:trPr>
          <w:cantSplit/>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Mine / site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5"/>
              </w:rPr>
              <w:t>Wessels Mine</w:t>
            </w:r>
          </w:p>
        </w:tc>
      </w:tr>
      <w:tr>
        <w:trPr>
          <w:cantSplit/>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System</w:t>
            </w:r>
          </w:p>
        </w:tc>
        <w:tc>
          <w:tcPr>
            <w:tcW w:type="dxa" w:w="6633"/>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Combined-product handling and processing systems</w:t>
            </w:r>
          </w:p>
        </w:tc>
      </w:tr>
      <w:tr>
        <w:trPr>
          <w:cantSplit/>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Primary drafting source</w:t>
            </w:r>
          </w:p>
        </w:tc>
        <w:tc>
          <w:tcPr>
            <w:tcW w:type="dxa" w:w="6633"/>
            <w:vAlign w:val="center"/>
            <w:tcMar>
              <w:top w:w="80" w:type="dxa"/>
              <w:start w:w="90" w:type="dxa"/>
              <w:bottom w:w="80" w:type="dxa"/>
              <w:end w:w="90" w:type="dxa"/>
            </w:tcMar>
          </w:tcPr>
          <w:p>
            <w:r/>
            <w:r>
              <w:rPr>
                <w:b w:val="0"/>
              </w:rPr>
              <w:t>Running_Report_Contextual_Spillage_NotesV3.9.docx + Phase 7 Addendum / controlled Phase 7 content set</w:t>
            </w:r>
          </w:p>
        </w:tc>
      </w:tr>
      <w:tr>
        <w:trPr>
          <w:cantSplit/>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 register</w:t>
            </w:r>
          </w:p>
        </w:tc>
        <w:tc>
          <w:tcPr>
            <w:tcW w:type="dxa" w:w="6633"/>
            <w:vAlign w:val="center"/>
            <w:tcMar>
              <w:top w:w="80" w:type="dxa"/>
              <w:start w:w="90" w:type="dxa"/>
              <w:bottom w:w="80" w:type="dxa"/>
              <w:end w:w="90" w:type="dxa"/>
            </w:tcMar>
            <w:shd w:fill="F7F7F7"/>
          </w:tcPr>
          <w:p>
            <w:r/>
            <w:r>
              <w:rPr>
                <w:b w:val="0"/>
              </w:rPr>
              <w:t>EVIDENCE_STORY_MATRIX_V0.1.csv — 197 controlled media / 75 E / 44 S / 78 A / 0 X</w:t>
            </w:r>
          </w:p>
        </w:tc>
      </w:tr>
      <w:tr>
        <w:trPr>
          <w:cantSplit/>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Template lineage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5"/>
              </w:rPr>
              <w:t>Adapted from ISS Sheave Inspection Report Master Template v2.1 structure</w:t>
            </w:r>
          </w:p>
        </w:tc>
      </w:tr>
    </w:tbl>
    <w:p>
      <w:pPr>
        <w:pStyle w:val="Heading2"/>
        <w:keepNext/>
      </w:pPr>
      <w:r>
        <w:rPr>
          <w:rFonts w:ascii="Arial" w:hAnsi="Arial"/>
        </w:rPr>
        <w:t>Prepared, Reviewed and Approved</w:t>
      </w:r>
    </w:p>
    <w:p>
      <w:pPr>
        <w:pStyle w:val="Caption"/>
        <w:keepNext w:val="0"/>
        <w:keepLines/>
        <w:spacing w:before="80" w:after="60"/>
      </w:pPr>
      <w:r>
        <w:rPr>
          <w:rFonts w:ascii="Arial" w:hAnsi="Arial"/>
          <w:b/>
          <w:color w:val="404040"/>
          <w:sz w:val="16"/>
        </w:rPr>
        <w:t>Table 2 - Document authorization record</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950"/>
        <w:gridCol w:w="1950"/>
        <w:gridCol w:w="1950"/>
        <w:gridCol w:w="1950"/>
        <w:gridCol w:w="1950"/>
      </w:tblGrid>
      <w:tr>
        <w:trPr>
          <w:tblHeader w:val="true"/>
          <w:cantSplit/>
          <w:cantSplit/>
        </w:trPr>
        <w:tc>
          <w:tcPr>
            <w:tcW w:type="dxa" w:w="1587"/>
            <w:shd w:fill="17365D"/>
            <w:vAlign w:val="center"/>
            <w:tcMar>
              <w:top w:w="80" w:type="dxa"/>
              <w:start w:w="90" w:type="dxa"/>
              <w:bottom w:w="80" w:type="dxa"/>
              <w:end w:w="90" w:type="dxa"/>
            </w:tcMar>
          </w:tcPr>
          <w:p>
            <w:pPr>
              <w:spacing w:after="0" w:before="0"/>
              <w:jc w:val="center"/>
            </w:pPr>
            <w:r/>
            <w:r>
              <w:rPr>
                <w:rFonts w:ascii="Arial" w:hAnsi="Arial"/>
                <w:b/>
                <w:color w:val="FFFFFF"/>
                <w:sz w:val="16"/>
              </w:rPr>
              <w:t>Role</w:t>
            </w:r>
          </w:p>
        </w:tc>
        <w:tc>
          <w:tcPr>
            <w:tcW w:type="dxa" w:w="2154"/>
            <w:shd w:fill="17365D"/>
            <w:vAlign w:val="center"/>
            <w:tcMar>
              <w:top w:w="80" w:type="dxa"/>
              <w:start w:w="90" w:type="dxa"/>
              <w:bottom w:w="80" w:type="dxa"/>
              <w:end w:w="90" w:type="dxa"/>
            </w:tcMar>
          </w:tcPr>
          <w:p>
            <w:pPr>
              <w:spacing w:after="0" w:before="0"/>
              <w:jc w:val="center"/>
            </w:pPr>
            <w:r/>
            <w:r>
              <w:rPr>
                <w:rFonts w:ascii="Arial" w:hAnsi="Arial"/>
                <w:b/>
                <w:color w:val="FFFFFF"/>
                <w:sz w:val="16"/>
              </w:rPr>
              <w:t>Name</w:t>
            </w:r>
          </w:p>
        </w:tc>
        <w:tc>
          <w:tcPr>
            <w:tcW w:type="dxa" w:w="2948"/>
            <w:shd w:fill="17365D"/>
            <w:vAlign w:val="center"/>
            <w:tcMar>
              <w:top w:w="80" w:type="dxa"/>
              <w:start w:w="90" w:type="dxa"/>
              <w:bottom w:w="80" w:type="dxa"/>
              <w:end w:w="90" w:type="dxa"/>
            </w:tcMar>
          </w:tcPr>
          <w:p>
            <w:pPr>
              <w:spacing w:after="0" w:before="0"/>
              <w:jc w:val="center"/>
            </w:pPr>
            <w:r/>
            <w:r>
              <w:rPr>
                <w:rFonts w:ascii="Arial" w:hAnsi="Arial"/>
                <w:b/>
                <w:color w:val="FFFFFF"/>
                <w:sz w:val="16"/>
              </w:rPr>
              <w:t>Title / Discipline</w:t>
            </w:r>
          </w:p>
        </w:tc>
        <w:tc>
          <w:tcPr>
            <w:tcW w:type="dxa" w:w="1361"/>
            <w:shd w:fill="17365D"/>
            <w:vAlign w:val="center"/>
            <w:tcMar>
              <w:top w:w="80" w:type="dxa"/>
              <w:start w:w="90" w:type="dxa"/>
              <w:bottom w:w="80" w:type="dxa"/>
              <w:end w:w="90" w:type="dxa"/>
            </w:tcMar>
          </w:tcPr>
          <w:p>
            <w:pPr>
              <w:spacing w:after="0" w:before="0"/>
              <w:jc w:val="center"/>
            </w:pPr>
            <w:r/>
            <w:r>
              <w:rPr>
                <w:rFonts w:ascii="Arial" w:hAnsi="Arial"/>
                <w:b/>
                <w:color w:val="FFFFFF"/>
                <w:sz w:val="16"/>
              </w:rPr>
              <w:t>Date</w:t>
            </w:r>
          </w:p>
        </w:tc>
        <w:tc>
          <w:tcPr>
            <w:tcW w:type="dxa" w:w="1304"/>
            <w:shd w:fill="17365D"/>
            <w:vAlign w:val="center"/>
            <w:tcMar>
              <w:top w:w="80" w:type="dxa"/>
              <w:start w:w="90" w:type="dxa"/>
              <w:bottom w:w="80" w:type="dxa"/>
              <w:end w:w="90" w:type="dxa"/>
            </w:tcMar>
          </w:tcPr>
          <w:p>
            <w:pPr>
              <w:spacing w:after="0" w:before="0"/>
              <w:jc w:val="center"/>
            </w:pPr>
            <w:r/>
            <w:r>
              <w:rPr>
                <w:rFonts w:ascii="Arial" w:hAnsi="Arial"/>
                <w:b/>
                <w:color w:val="FFFFFF"/>
                <w:sz w:val="16"/>
              </w:rPr>
              <w:t>Signature</w:t>
            </w:r>
          </w:p>
        </w:tc>
      </w:tr>
      <w:tr>
        <w:trPr>
          <w:cantSplit/>
          <w:cantSplit/>
        </w:trPr>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Prepared by</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[PREPARED BY]</w:t>
            </w:r>
          </w:p>
        </w:tc>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[TITLE]</w:t>
            </w:r>
          </w:p>
        </w:tc>
        <w:tc>
          <w:tcPr>
            <w:tcW w:type="dxa" w:w="1361"/>
            <w:vAlign w:val="center"/>
            <w:tcMar>
              <w:top w:w="80" w:type="dxa"/>
              <w:start w:w="90" w:type="dxa"/>
              <w:bottom w:w="80" w:type="dxa"/>
              <w:end w:w="90" w:type="dxa"/>
            </w:tcMar>
          </w:tcPr>
          <w:p>
            <w:pPr>
              <w:spacing w:after="0" w:before="0"/>
              <w:jc w:val="left"/>
            </w:pPr>
            <w:r/>
            <w:r>
              <w:rPr>
                <w:rFonts w:ascii="Arial" w:hAnsi="Arial"/>
                <w:b w:val="0"/>
                <w:color w:val="000000"/>
                <w:sz w:val="15"/>
              </w:rPr>
              <w:t>[DATE]</w:t>
            </w:r>
          </w:p>
        </w:tc>
        <w:tc>
          <w:tcPr>
            <w:tcW w:type="dxa" w:w="1304"/>
            <w:vAlign w:val="center"/>
            <w:tcMar>
              <w:top w:w="80" w:type="dxa"/>
              <w:start w:w="90" w:type="dxa"/>
              <w:bottom w:w="80" w:type="dxa"/>
              <w:end w:w="90" w:type="dxa"/>
            </w:tcMar>
          </w:tcPr>
          <w:p>
            <w:pPr>
              <w:spacing w:after="0" w:before="0"/>
              <w:jc w:val="left"/>
            </w:pPr>
            <w:r/>
            <w:r>
              <w:rPr>
                <w:rFonts w:ascii="Arial" w:hAnsi="Arial"/>
                <w:b w:val="0"/>
                <w:color w:val="000000"/>
                <w:sz w:val="15"/>
              </w:rPr>
            </w:r>
          </w:p>
        </w:tc>
      </w:tr>
      <w:tr>
        <w:trPr>
          <w:cantSplit/>
          <w:cantSplit/>
        </w:trPr>
        <w:tc>
          <w:tcPr>
            <w:tcW w:type="dxa" w:w="1587"/>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Reviewed by</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[REVIEWED BY]</w:t>
            </w:r>
          </w:p>
        </w:tc>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[TITLE]</w:t>
            </w:r>
          </w:p>
        </w:tc>
        <w:tc>
          <w:tcPr>
            <w:tcW w:type="dxa" w:w="1361"/>
            <w:vAlign w:val="center"/>
            <w:tcMar>
              <w:top w:w="80" w:type="dxa"/>
              <w:start w:w="90" w:type="dxa"/>
              <w:bottom w:w="80" w:type="dxa"/>
              <w:end w:w="90" w:type="dxa"/>
            </w:tcMar>
            <w:shd w:fill="F7F7F7"/>
          </w:tcPr>
          <w:p>
            <w:pPr>
              <w:spacing w:after="0" w:before="0"/>
              <w:jc w:val="left"/>
            </w:pPr>
            <w:r/>
            <w:r>
              <w:rPr>
                <w:rFonts w:ascii="Arial" w:hAnsi="Arial"/>
                <w:b w:val="0"/>
                <w:color w:val="000000"/>
                <w:sz w:val="15"/>
              </w:rPr>
              <w:t>[DATE]</w:t>
            </w:r>
          </w:p>
        </w:tc>
        <w:tc>
          <w:tcPr>
            <w:tcW w:type="dxa" w:w="1304"/>
            <w:vAlign w:val="center"/>
            <w:tcMar>
              <w:top w:w="80" w:type="dxa"/>
              <w:start w:w="90" w:type="dxa"/>
              <w:bottom w:w="80" w:type="dxa"/>
              <w:end w:w="90" w:type="dxa"/>
            </w:tcMar>
            <w:shd w:fill="F7F7F7"/>
          </w:tcPr>
          <w:p>
            <w:pPr>
              <w:spacing w:after="0" w:before="0"/>
              <w:jc w:val="left"/>
            </w:pPr>
            <w:r/>
            <w:r>
              <w:rPr>
                <w:rFonts w:ascii="Arial" w:hAnsi="Arial"/>
                <w:b w:val="0"/>
                <w:color w:val="000000"/>
                <w:sz w:val="15"/>
              </w:rPr>
            </w:r>
          </w:p>
        </w:tc>
      </w:tr>
      <w:tr>
        <w:trPr>
          <w:cantSplit/>
          <w:cantSplit/>
        </w:trPr>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Approved by</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[APPROVED BY]</w:t>
            </w:r>
          </w:p>
        </w:tc>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[TITLE]</w:t>
            </w:r>
          </w:p>
        </w:tc>
        <w:tc>
          <w:tcPr>
            <w:tcW w:type="dxa" w:w="1361"/>
            <w:vAlign w:val="center"/>
            <w:tcMar>
              <w:top w:w="80" w:type="dxa"/>
              <w:start w:w="90" w:type="dxa"/>
              <w:bottom w:w="80" w:type="dxa"/>
              <w:end w:w="90" w:type="dxa"/>
            </w:tcMar>
          </w:tcPr>
          <w:p>
            <w:pPr>
              <w:spacing w:after="0" w:before="0"/>
              <w:jc w:val="left"/>
            </w:pPr>
            <w:r/>
            <w:r>
              <w:rPr>
                <w:rFonts w:ascii="Arial" w:hAnsi="Arial"/>
                <w:b w:val="0"/>
                <w:color w:val="000000"/>
                <w:sz w:val="15"/>
              </w:rPr>
              <w:t>[DATE]</w:t>
            </w:r>
          </w:p>
        </w:tc>
        <w:tc>
          <w:tcPr>
            <w:tcW w:type="dxa" w:w="1304"/>
            <w:vAlign w:val="center"/>
            <w:tcMar>
              <w:top w:w="80" w:type="dxa"/>
              <w:start w:w="90" w:type="dxa"/>
              <w:bottom w:w="80" w:type="dxa"/>
              <w:end w:w="90" w:type="dxa"/>
            </w:tcMar>
          </w:tcPr>
          <w:p>
            <w:pPr>
              <w:spacing w:after="0" w:before="0"/>
              <w:jc w:val="left"/>
            </w:pPr>
            <w:r/>
            <w:r>
              <w:rPr>
                <w:rFonts w:ascii="Arial" w:hAnsi="Arial"/>
                <w:b w:val="0"/>
                <w:color w:val="000000"/>
                <w:sz w:val="15"/>
              </w:rPr>
            </w:r>
          </w:p>
        </w:tc>
      </w:tr>
    </w:tbl>
    <w:p>
      <w:pPr>
        <w:pStyle w:val="Heading2"/>
        <w:keepNext/>
      </w:pPr>
      <w:r>
        <w:rPr>
          <w:rFonts w:ascii="Arial" w:hAnsi="Arial"/>
        </w:rPr>
        <w:t>Revision History</w:t>
      </w:r>
    </w:p>
    <w:p>
      <w:pPr>
        <w:pStyle w:val="Caption"/>
        <w:keepNext w:val="0"/>
        <w:keepLines/>
        <w:spacing w:before="80" w:after="60"/>
      </w:pPr>
      <w:r>
        <w:rPr>
          <w:rFonts w:ascii="Arial" w:hAnsi="Arial"/>
          <w:b/>
          <w:color w:val="404040"/>
          <w:sz w:val="16"/>
        </w:rPr>
        <w:t>Table 3 - Revision history</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950"/>
        <w:gridCol w:w="1950"/>
        <w:gridCol w:w="1950"/>
        <w:gridCol w:w="1950"/>
        <w:gridCol w:w="1950"/>
      </w:tblGrid>
      <w:tr>
        <w:trPr>
          <w:tblHeader w:val="true"/>
          <w:cantSplit/>
          <w:cantSplit/>
        </w:trPr>
        <w:tc>
          <w:tcPr>
            <w:tcW w:type="dxa" w:w="1020"/>
            <w:shd w:fill="17365D"/>
            <w:vAlign w:val="center"/>
            <w:tcMar>
              <w:top w:w="80" w:type="dxa"/>
              <w:start w:w="90" w:type="dxa"/>
              <w:bottom w:w="80" w:type="dxa"/>
              <w:end w:w="90" w:type="dxa"/>
            </w:tcMar>
          </w:tcPr>
          <w:p>
            <w:pPr>
              <w:spacing w:after="0" w:before="0"/>
              <w:jc w:val="center"/>
            </w:pPr>
            <w:r>
              <w:rPr>
                <w:sz w:val="16"/>
              </w:rPr>
            </w:r>
            <w:r>
              <w:rPr>
                <w:rFonts w:ascii="Arial" w:hAnsi="Arial"/>
                <w:b/>
                <w:color w:val="FFFFFF"/>
                <w:sz w:val="16"/>
              </w:rPr>
              <w:t>Revision</w:t>
            </w:r>
          </w:p>
        </w:tc>
        <w:tc>
          <w:tcPr>
            <w:tcW w:type="dxa" w:w="1361"/>
            <w:shd w:fill="17365D"/>
            <w:vAlign w:val="center"/>
            <w:tcMar>
              <w:top w:w="80" w:type="dxa"/>
              <w:start w:w="90" w:type="dxa"/>
              <w:bottom w:w="80" w:type="dxa"/>
              <w:end w:w="90" w:type="dxa"/>
            </w:tcMar>
          </w:tcPr>
          <w:p>
            <w:pPr>
              <w:spacing w:after="0" w:before="0"/>
              <w:jc w:val="center"/>
            </w:pPr>
            <w:r>
              <w:rPr>
                <w:sz w:val="16"/>
              </w:rPr>
            </w:r>
            <w:r>
              <w:rPr>
                <w:rFonts w:ascii="Arial" w:hAnsi="Arial"/>
                <w:b/>
                <w:color w:val="FFFFFF"/>
                <w:sz w:val="16"/>
              </w:rPr>
              <w:t>Date</w:t>
            </w:r>
          </w:p>
        </w:tc>
        <w:tc>
          <w:tcPr>
            <w:tcW w:type="dxa" w:w="4139"/>
            <w:shd w:fill="17365D"/>
            <w:vAlign w:val="center"/>
            <w:tcMar>
              <w:top w:w="80" w:type="dxa"/>
              <w:start w:w="90" w:type="dxa"/>
              <w:bottom w:w="80" w:type="dxa"/>
              <w:end w:w="90" w:type="dxa"/>
            </w:tcMar>
          </w:tcPr>
          <w:p>
            <w:pPr>
              <w:spacing w:after="0" w:before="0"/>
              <w:jc w:val="center"/>
            </w:pPr>
            <w:r>
              <w:rPr>
                <w:sz w:val="16"/>
              </w:rPr>
            </w:r>
            <w:r>
              <w:rPr>
                <w:rFonts w:ascii="Arial" w:hAnsi="Arial"/>
                <w:b/>
                <w:color w:val="FFFFFF"/>
                <w:sz w:val="16"/>
              </w:rPr>
              <w:t>Change description</w:t>
            </w:r>
          </w:p>
        </w:tc>
        <w:tc>
          <w:tcPr>
            <w:tcW w:type="dxa" w:w="1531"/>
            <w:shd w:fill="17365D"/>
            <w:vAlign w:val="center"/>
            <w:tcMar>
              <w:top w:w="80" w:type="dxa"/>
              <w:start w:w="90" w:type="dxa"/>
              <w:bottom w:w="80" w:type="dxa"/>
              <w:end w:w="90" w:type="dxa"/>
            </w:tcMar>
          </w:tcPr>
          <w:p>
            <w:pPr>
              <w:spacing w:after="0" w:before="0"/>
              <w:jc w:val="center"/>
            </w:pPr>
            <w:r>
              <w:rPr>
                <w:sz w:val="16"/>
              </w:rPr>
            </w:r>
            <w:r>
              <w:rPr>
                <w:rFonts w:ascii="Arial" w:hAnsi="Arial"/>
                <w:b/>
                <w:color w:val="FFFFFF"/>
                <w:sz w:val="16"/>
              </w:rPr>
              <w:t>Prepared by</w:t>
            </w:r>
          </w:p>
        </w:tc>
        <w:tc>
          <w:tcPr>
            <w:tcW w:type="dxa" w:w="1304"/>
            <w:shd w:fill="17365D"/>
            <w:vAlign w:val="center"/>
            <w:tcMar>
              <w:top w:w="80" w:type="dxa"/>
              <w:start w:w="90" w:type="dxa"/>
              <w:bottom w:w="80" w:type="dxa"/>
              <w:end w:w="90" w:type="dxa"/>
            </w:tcMar>
          </w:tcPr>
          <w:p>
            <w:pPr>
              <w:spacing w:after="0" w:before="0"/>
              <w:jc w:val="center"/>
            </w:pPr>
            <w:r>
              <w:rPr>
                <w:sz w:val="16"/>
              </w:rPr>
            </w:r>
            <w:r>
              <w:rPr>
                <w:rFonts w:ascii="Arial" w:hAnsi="Arial"/>
                <w:b/>
                <w:color w:val="FFFFFF"/>
                <w:sz w:val="16"/>
              </w:rPr>
              <w:t>Approved by</w:t>
            </w:r>
          </w:p>
        </w:tc>
      </w:tr>
      <w:tr>
        <w:trPr>
          <w:cantSplit/>
          <w:cantSplit/>
        </w:trPr>
        <w:tc>
          <w:tcPr>
            <w:tcW w:type="dxa" w:w="1020"/>
            <w:vAlign w:val="center"/>
            <w:tcMar>
              <w:top w:w="80" w:type="dxa"/>
              <w:start w:w="90" w:type="dxa"/>
              <w:bottom w:w="80" w:type="dxa"/>
              <w:end w:w="90" w:type="dxa"/>
            </w:tcMar>
          </w:tcPr>
          <w:p>
            <w:pPr>
              <w:spacing w:after="0" w:before="0"/>
              <w:jc w:val="left"/>
            </w:pPr>
            <w:r>
              <w:rPr>
                <w:sz w:val="16"/>
              </w:rPr>
            </w:r>
            <w:r>
              <w:rPr>
                <w:rFonts w:ascii="Arial" w:hAnsi="Arial"/>
                <w:b w:val="0"/>
                <w:color w:val="000000"/>
                <w:sz w:val="16"/>
              </w:rPr>
              <w:t>0.1</w:t>
            </w:r>
          </w:p>
        </w:tc>
        <w:tc>
          <w:tcPr>
            <w:tcW w:type="dxa" w:w="1361"/>
            <w:vAlign w:val="center"/>
            <w:tcMar>
              <w:top w:w="80" w:type="dxa"/>
              <w:start w:w="90" w:type="dxa"/>
              <w:bottom w:w="80" w:type="dxa"/>
              <w:end w:w="90" w:type="dxa"/>
            </w:tcMar>
          </w:tcPr>
          <w:p>
            <w:pPr>
              <w:spacing w:after="0" w:before="0"/>
              <w:jc w:val="left"/>
            </w:pPr>
            <w:r>
              <w:rPr>
                <w:sz w:val="16"/>
              </w:rPr>
            </w:r>
            <w:r>
              <w:rPr>
                <w:rFonts w:ascii="Arial" w:hAnsi="Arial"/>
                <w:b w:val="0"/>
                <w:color w:val="000000"/>
                <w:sz w:val="16"/>
              </w:rPr>
              <w:t>[DATE]</w:t>
            </w:r>
          </w:p>
        </w:tc>
        <w:tc>
          <w:tcPr>
            <w:tcW w:type="dxa" w:w="4139"/>
            <w:vAlign w:val="center"/>
            <w:tcMar>
              <w:top w:w="80" w:type="dxa"/>
              <w:start w:w="90" w:type="dxa"/>
              <w:bottom w:w="80" w:type="dxa"/>
              <w:end w:w="90" w:type="dxa"/>
            </w:tcMar>
          </w:tcPr>
          <w:p>
            <w:pPr>
              <w:spacing w:after="0" w:before="0"/>
              <w:jc w:val="left"/>
            </w:pPr>
            <w:r>
              <w:rPr>
                <w:sz w:val="16"/>
              </w:rPr>
            </w:r>
            <w:r>
              <w:rPr>
                <w:rFonts w:ascii="Arial" w:hAnsi="Arial"/>
                <w:b w:val="0"/>
                <w:color w:val="000000"/>
                <w:sz w:val="16"/>
              </w:rPr>
              <w:t>Initial spillage-report working base adapted from ISS sheave-report structure using consolidated Contextual Notes V3.7 and completed evidence review.</w:t>
            </w:r>
          </w:p>
        </w:tc>
        <w:tc>
          <w:tcPr>
            <w:tcW w:type="dxa" w:w="1531"/>
            <w:vAlign w:val="center"/>
            <w:tcMar>
              <w:top w:w="80" w:type="dxa"/>
              <w:start w:w="90" w:type="dxa"/>
              <w:bottom w:w="80" w:type="dxa"/>
              <w:end w:w="90" w:type="dxa"/>
            </w:tcMar>
          </w:tcPr>
          <w:p>
            <w:pPr>
              <w:spacing w:after="0" w:before="0"/>
              <w:jc w:val="left"/>
            </w:pPr>
            <w:r>
              <w:rPr>
                <w:sz w:val="16"/>
              </w:rPr>
            </w:r>
            <w:r>
              <w:rPr>
                <w:rFonts w:ascii="Arial" w:hAnsi="Arial"/>
                <w:b w:val="0"/>
                <w:color w:val="000000"/>
                <w:sz w:val="16"/>
              </w:rPr>
              <w:t>[NAME]</w:t>
            </w:r>
          </w:p>
        </w:tc>
        <w:tc>
          <w:tcPr>
            <w:tcW w:type="dxa" w:w="1304"/>
            <w:vAlign w:val="center"/>
            <w:tcMar>
              <w:top w:w="80" w:type="dxa"/>
              <w:start w:w="90" w:type="dxa"/>
              <w:bottom w:w="80" w:type="dxa"/>
              <w:end w:w="90" w:type="dxa"/>
            </w:tcMar>
          </w:tcPr>
          <w:p>
            <w:pPr>
              <w:spacing w:after="0" w:before="0"/>
              <w:jc w:val="left"/>
            </w:pPr>
            <w:r>
              <w:rPr>
                <w:sz w:val="16"/>
              </w:rPr>
            </w:r>
            <w:r>
              <w:rPr>
                <w:rFonts w:ascii="Arial" w:hAnsi="Arial"/>
                <w:b w:val="0"/>
                <w:color w:val="000000"/>
                <w:sz w:val="16"/>
              </w:rPr>
              <w:t>[NAME]</w:t>
            </w:r>
          </w:p>
        </w:tc>
      </w:tr>
      <w:tr>
        <w:trPr>
          <w:cantSplit/>
        </w:trPr>
        <w:tc>
          <w:tcPr>
            <w:tcW w:type="dxa" w:w="1950"/>
          </w:tcPr>
          <w:p>
            <w:r>
              <w:rPr>
                <w:sz w:val="16"/>
              </w:rPr>
              <w:t>0.2</w:t>
            </w:r>
          </w:p>
        </w:tc>
        <w:tc>
          <w:tcPr>
            <w:tcW w:type="dxa" w:w="1950"/>
          </w:tcPr>
          <w:p>
            <w:r>
              <w:rPr>
                <w:sz w:val="16"/>
              </w:rPr>
              <w:t>25 Aug 2026</w:t>
            </w:r>
          </w:p>
        </w:tc>
        <w:tc>
          <w:tcPr>
            <w:tcW w:type="dxa" w:w="1950"/>
          </w:tcPr>
          <w:p>
            <w:r>
              <w:rPr>
                <w:sz w:val="16"/>
              </w:rPr>
              <w:t>Phase 6 assembly draft: accepted narrative architecture + evidence hierarchy + CV09 holistic evidence grammar integrated into one full report structure.</w:t>
            </w:r>
          </w:p>
        </w:tc>
        <w:tc>
          <w:tcPr>
            <w:tcW w:type="dxa" w:w="1950"/>
          </w:tcPr>
          <w:p>
            <w:r>
              <w:rPr>
                <w:sz w:val="16"/>
              </w:rPr>
              <w:t>ISS</w:t>
            </w:r>
          </w:p>
        </w:tc>
        <w:tc>
          <w:tcPr>
            <w:tcW w:type="dxa" w:w="1950"/>
          </w:tcPr>
          <w:p>
            <w:r>
              <w:rPr>
                <w:sz w:val="16"/>
              </w:rPr>
              <w:t>Draft review</w:t>
            </w:r>
          </w:p>
        </w:tc>
      </w:tr>
      <w:tr>
        <w:trPr>
          <w:cantSplit/>
        </w:trPr>
        <w:tc>
          <w:tcPr>
            <w:tcW w:type="dxa" w:w="1950"/>
          </w:tcPr>
          <w:p>
            <w:r>
              <w:rPr>
                <w:sz w:val="16"/>
              </w:rPr>
            </w:r>
            <w:r>
              <w:rPr>
                <w:b w:val="0"/>
                <w:sz w:val="16"/>
              </w:rPr>
              <w:t>0.3</w:t>
            </w:r>
          </w:p>
        </w:tc>
        <w:tc>
          <w:tcPr>
            <w:tcW w:type="dxa" w:w="1950"/>
          </w:tcPr>
          <w:p>
            <w:r>
              <w:rPr>
                <w:sz w:val="16"/>
              </w:rPr>
            </w:r>
            <w:r>
              <w:rPr>
                <w:b w:val="0"/>
                <w:sz w:val="16"/>
              </w:rPr>
              <w:t>25 Aug 2026</w:t>
            </w:r>
          </w:p>
        </w:tc>
        <w:tc>
          <w:tcPr>
            <w:tcW w:type="dxa" w:w="1950"/>
          </w:tcPr>
          <w:p>
            <w:r>
              <w:rPr>
                <w:sz w:val="16"/>
              </w:rPr>
            </w:r>
            <w:r>
              <w:rPr>
                <w:b w:val="0"/>
                <w:sz w:val="16"/>
              </w:rPr>
              <w:t>Phase 7 compilation draft: refined Parts I-XII, mature action programme, verification register, technical appendices and current conceptual engineering figures compiled into the approved V0.2 report architecture.</w:t>
            </w:r>
          </w:p>
        </w:tc>
        <w:tc>
          <w:tcPr>
            <w:tcW w:type="dxa" w:w="1950"/>
          </w:tcPr>
          <w:p>
            <w:r>
              <w:rPr>
                <w:sz w:val="16"/>
              </w:rPr>
            </w:r>
            <w:r>
              <w:rPr>
                <w:b w:val="0"/>
                <w:sz w:val="16"/>
              </w:rPr>
              <w:t>ISS</w:t>
            </w:r>
          </w:p>
        </w:tc>
        <w:tc>
          <w:tcPr>
            <w:tcW w:type="dxa" w:w="1950"/>
          </w:tcPr>
          <w:p>
            <w:r>
              <w:rPr>
                <w:sz w:val="16"/>
              </w:rPr>
            </w:r>
            <w:r>
              <w:rPr>
                <w:b w:val="0"/>
                <w:sz w:val="16"/>
              </w:rPr>
              <w:t>Draft review</w:t>
            </w:r>
          </w:p>
        </w:tc>
      </w:tr>
    </w:tbl>
    <w:p>
      <w:pPr>
        <w:pStyle w:val="Heading2"/>
        <w:keepNext/>
      </w:pPr>
      <w:r>
        <w:rPr>
          <w:rFonts w:ascii="Arial" w:hAnsi="Arial"/>
        </w:rPr>
        <w:t>Controlled Distribution</w:t>
      </w:r>
    </w:p>
    <w:p>
      <w:pPr>
        <w:pStyle w:val="Caption"/>
        <w:keepNext w:val="0"/>
        <w:keepLines/>
        <w:spacing w:before="80" w:after="60"/>
      </w:pPr>
      <w:r>
        <w:rPr>
          <w:rFonts w:ascii="Arial" w:hAnsi="Arial"/>
          <w:b/>
          <w:color w:val="404040"/>
          <w:sz w:val="16"/>
        </w:rPr>
        <w:t>Table 4 - Controlled distribution list</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cantSplit/>
        </w:trPr>
        <w:tc>
          <w:tcPr>
            <w:tcW w:type="dxa" w:w="2551"/>
            <w:shd w:fill="17365D"/>
            <w:vAlign w:val="center"/>
            <w:tcMar>
              <w:top w:w="80" w:type="dxa"/>
              <w:start w:w="90" w:type="dxa"/>
              <w:bottom w:w="80" w:type="dxa"/>
              <w:end w:w="90" w:type="dxa"/>
            </w:tcMar>
          </w:tcPr>
          <w:p>
            <w:pPr>
              <w:spacing w:after="0" w:before="0"/>
              <w:jc w:val="center"/>
            </w:pPr>
            <w:r/>
            <w:r>
              <w:rPr>
                <w:rFonts w:ascii="Arial" w:hAnsi="Arial"/>
                <w:b/>
                <w:color w:val="FFFFFF"/>
                <w:sz w:val="16"/>
              </w:rPr>
              <w:t>Recipient / role</w:t>
            </w:r>
          </w:p>
        </w:tc>
        <w:tc>
          <w:tcPr>
            <w:tcW w:type="dxa" w:w="2268"/>
            <w:shd w:fill="17365D"/>
            <w:vAlign w:val="center"/>
            <w:tcMar>
              <w:top w:w="80" w:type="dxa"/>
              <w:start w:w="90" w:type="dxa"/>
              <w:bottom w:w="80" w:type="dxa"/>
              <w:end w:w="90" w:type="dxa"/>
            </w:tcMar>
          </w:tcPr>
          <w:p>
            <w:pPr>
              <w:spacing w:after="0" w:before="0"/>
              <w:jc w:val="center"/>
            </w:pPr>
            <w:r/>
            <w:r>
              <w:rPr>
                <w:rFonts w:ascii="Arial" w:hAnsi="Arial"/>
                <w:b/>
                <w:color w:val="FFFFFF"/>
                <w:sz w:val="16"/>
              </w:rPr>
              <w:t>Organisation</w:t>
            </w:r>
          </w:p>
        </w:tc>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Purpose</w:t>
            </w:r>
          </w:p>
        </w:tc>
        <w:tc>
          <w:tcPr>
            <w:tcW w:type="dxa" w:w="1417"/>
            <w:shd w:fill="17365D"/>
            <w:vAlign w:val="center"/>
            <w:tcMar>
              <w:top w:w="80" w:type="dxa"/>
              <w:start w:w="90" w:type="dxa"/>
              <w:bottom w:w="80" w:type="dxa"/>
              <w:end w:w="90" w:type="dxa"/>
            </w:tcMar>
          </w:tcPr>
          <w:p>
            <w:pPr>
              <w:spacing w:after="0" w:before="0"/>
              <w:jc w:val="center"/>
            </w:pPr>
            <w:r/>
            <w:r>
              <w:rPr>
                <w:rFonts w:ascii="Arial" w:hAnsi="Arial"/>
                <w:b/>
                <w:color w:val="FFFFFF"/>
                <w:sz w:val="16"/>
              </w:rPr>
              <w:t>Controlled copy</w:t>
            </w:r>
          </w:p>
        </w:tc>
      </w:tr>
      <w:tr>
        <w:trPr>
          <w:cantSplit/>
          <w:cantSplit/>
        </w:trPr>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[CLIENT CONTACT]</w:t>
            </w:r>
          </w:p>
        </w:tc>
        <w:tc>
          <w:tcPr>
            <w:tcW w:type="dxa" w:w="2268"/>
            <w:vAlign w:val="center"/>
            <w:tcMar>
              <w:top w:w="80" w:type="dxa"/>
              <w:start w:w="90" w:type="dxa"/>
              <w:bottom w:w="80" w:type="dxa"/>
              <w:end w:w="90" w:type="dxa"/>
            </w:tcMar>
          </w:tcPr>
          <w:p>
            <w:pPr>
              <w:spacing w:after="0" w:before="0"/>
              <w:jc w:val="left"/>
            </w:pPr>
            <w:r/>
            <w:r>
              <w:rPr>
                <w:rFonts w:ascii="Arial" w:hAnsi="Arial"/>
                <w:b w:val="0"/>
                <w:color w:val="000000"/>
                <w:sz w:val="15"/>
              </w:rPr>
              <w:t>South32</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Review / action tracking</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[YES / NO]</w:t>
            </w:r>
          </w:p>
        </w:tc>
      </w:tr>
      <w:tr>
        <w:trPr>
          <w:cantSplit/>
          <w:cantSplit/>
        </w:trPr>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[ISS FILE]</w:t>
            </w:r>
          </w:p>
        </w:tc>
        <w:tc>
          <w:tcPr>
            <w:tcW w:type="dxa" w:w="2268"/>
            <w:vAlign w:val="center"/>
            <w:tcMar>
              <w:top w:w="80" w:type="dxa"/>
              <w:start w:w="90" w:type="dxa"/>
              <w:bottom w:w="80" w:type="dxa"/>
              <w:end w:w="90" w:type="dxa"/>
            </w:tcMar>
            <w:shd w:fill="F7F7F7"/>
          </w:tcPr>
          <w:p>
            <w:pPr>
              <w:spacing w:after="0" w:before="0"/>
              <w:jc w:val="left"/>
            </w:pPr>
            <w:r/>
            <w:r>
              <w:rPr>
                <w:rFonts w:ascii="Arial" w:hAnsi="Arial"/>
                <w:b w:val="0"/>
                <w:color w:val="000000"/>
                <w:sz w:val="15"/>
              </w:rPr>
              <w:t>ISS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Controlled project record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Yes</w:t>
            </w:r>
          </w:p>
        </w:tc>
      </w:tr>
    </w:tbl>
    <w:tbl>
      <w:tblPr>
        <w:tblW w:type="auto" w:w="0"/>
        <w:jc w:val="center"/>
        <w:tblLayout w:type="fixed"/>
        <w:tblLook w:firstColumn="1" w:firstRow="1" w:lastColumn="0" w:lastRow="0" w:noHBand="0" w:noVBand="1" w:val="04A0"/>
        <w:tblBorders>
          <w:top w:val="single" w:sz="8" w:color="D6B656"/>
          <w:left w:val="single" w:sz="8" w:color="D6B656"/>
          <w:bottom w:val="single" w:sz="8" w:color="D6B656"/>
          <w:right w:val="single" w:sz="8" w:color="D6B656"/>
          <w:insideH w:val="single" w:sz="8" w:color="D6B656"/>
          <w:insideV w:val="single" w:sz="8" w:color="D6B656"/>
        </w:tblBorders>
      </w:tblPr>
      <w:tblGrid>
        <w:gridCol w:w="9354"/>
      </w:tblGrid>
      <w:tr>
        <w:trPr>
          <w:cantSplit/>
          <w:cantSplit/>
        </w:trPr>
        <w:tc>
          <w:tcPr>
            <w:tcW w:type="dxa" w:w="9752"/>
            <w:shd w:fill="FFF2CC"/>
            <w:vAlign w:val="center"/>
            <w:tcMar>
              <w:top w:w="80" w:type="dxa"/>
              <w:start w:w="90" w:type="dxa"/>
              <w:bottom w:w="80" w:type="dxa"/>
              <w:end w:w="90" w:type="dxa"/>
            </w:tcMar>
          </w:tcPr>
          <w:p>
            <w:r/>
            <w:r>
              <w:rPr>
                <w:b/>
                <w:sz w:val="20"/>
              </w:rPr>
              <w:t>COMPILATION-DRAFT CONTROL NOTE</w:t>
            </w:r>
          </w:p>
          <w:p>
            <w:r>
              <w:rPr>
                <w:sz w:val="17"/>
              </w:rPr>
              <w:t>This revision compiles the completed Phase 7 technical/content development into the inspector-approved V0.2 report architecture. The narrative, recommendations, verification framework and appendices are now technically aligned. Final publication styling, automatic registers/cross-references, engineer conceptual-drawing review, outstanding site measurements and formal issue authorization remain controlled subsequent tasks.</w:t>
            </w:r>
          </w:p>
        </w:tc>
      </w:tr>
      <w:tr>
        <w:trPr>
          <w:cantSplit/>
          <w:cantSplit/>
        </w:trPr>
        <w:tc>
          <w:tcPr>
            <w:tcW w:type="dxa" w:w="9752"/>
            <w:vAlign w:val="center"/>
            <w:tcMar>
              <w:top w:w="80" w:type="dxa"/>
              <w:start w:w="90" w:type="dxa"/>
              <w:bottom w:w="80" w:type="dxa"/>
              <w:end w:w="90" w:type="dxa"/>
            </w:tcMar>
          </w:tcPr>
          <w:p>
            <w:r/>
            <w:r>
              <w:rPr>
                <w:b w:val="0"/>
                <w:sz w:val="17"/>
              </w:rPr>
              <w:t>This file remains NOT FOR ISSUE. No unverified dimensions, tolerances, capacities or OEM limits have been introduced. Unknown values remain explicit verification items in Appendix D and the Phase 7 verification register.</w:t>
            </w:r>
          </w:p>
        </w:tc>
      </w:tr>
    </w:tbl>
    <w:p>
      <w:pPr>
        <w:spacing w:after="0"/>
      </w:pPr>
    </w:p>
    <w:p>
      <w:pPr>
        <w:pStyle w:val="Heading1"/>
        <w:keepNext/>
      </w:pPr>
      <w:r>
        <w:rPr>
          <w:rFonts w:ascii="Arial" w:hAnsi="Arial"/>
        </w:rPr>
        <w:t>Table of Contents</w:t>
      </w:r>
    </w:p>
    <w:p>
      <w:pPr>
        <w:spacing w:after="20"/>
        <w:ind w:left="227"/>
      </w:pPr>
      <w:r>
        <w:t>1 Executive Summary</w:t>
      </w:r>
    </w:p>
    <w:p>
      <w:pPr>
        <w:spacing w:after="20"/>
        <w:ind w:left="227"/>
      </w:pPr>
      <w:r>
        <w:t>2 Purpose and Objectives</w:t>
      </w:r>
    </w:p>
    <w:p>
      <w:pPr>
        <w:spacing w:after="20"/>
        <w:ind w:left="227"/>
      </w:pPr>
      <w:r>
        <w:t>3 Scope of the Audit</w:t>
      </w:r>
    </w:p>
    <w:p>
      <w:pPr>
        <w:spacing w:after="20"/>
        <w:ind w:left="227"/>
      </w:pPr>
      <w:r>
        <w:t>4 Methodology, Evidence Basis and Limitations</w:t>
      </w:r>
    </w:p>
    <w:p>
      <w:pPr>
        <w:spacing w:after="20"/>
        <w:ind w:left="227"/>
      </w:pPr>
      <w:r>
        <w:t>5 The Material Journey</w:t>
      </w:r>
    </w:p>
    <w:p>
      <w:pPr>
        <w:spacing w:after="20"/>
        <w:ind w:left="227"/>
      </w:pPr>
      <w:r>
        <w:t>6 Central Audit Principle — Spillage Location Is Not Always Cause Location</w:t>
      </w:r>
    </w:p>
    <w:p>
      <w:pPr>
        <w:spacing w:after="20"/>
        <w:ind w:left="227"/>
      </w:pPr>
      <w:r>
        <w:t>7 The Overall Spillage Picture</w:t>
      </w:r>
    </w:p>
    <w:p>
      <w:pPr>
        <w:spacing w:after="20"/>
        <w:ind w:left="227"/>
      </w:pPr>
      <w:r>
        <w:t>8 Fines Are Being Lost Progressively Through the Conveyor Ecosystem</w:t>
      </w:r>
    </w:p>
    <w:p>
      <w:pPr>
        <w:spacing w:after="20"/>
        <w:ind w:left="227"/>
      </w:pPr>
      <w:r>
        <w:t>9 Why Belt Cleaning Alone Is Not the Full Control Function</w:t>
      </w:r>
    </w:p>
    <w:p>
      <w:pPr>
        <w:spacing w:after="20"/>
        <w:ind w:left="227"/>
      </w:pPr>
      <w:r>
        <w:t>10 Cleaner / Fines-Control Philosophy and CV09 Pilot</w:t>
      </w:r>
    </w:p>
    <w:p>
      <w:pPr>
        <w:spacing w:after="20"/>
        <w:ind w:left="227"/>
      </w:pPr>
      <w:r>
        <w:t>11 The Containment Problem Is Not Limited to Fines</w:t>
      </w:r>
    </w:p>
    <w:p>
      <w:pPr>
        <w:spacing w:after="20"/>
        <w:ind w:left="227"/>
      </w:pPr>
      <w:r>
        <w:t>12 W10 — Coarse Product Loss in a Confined Tunnel</w:t>
      </w:r>
    </w:p>
    <w:p>
      <w:pPr>
        <w:spacing w:after="20"/>
        <w:ind w:left="227"/>
      </w:pPr>
      <w:r>
        <w:t>13 Sample Conveyors — Product Size, Feed and Limited Carrying Width</w:t>
      </w:r>
    </w:p>
    <w:p>
      <w:pPr>
        <w:spacing w:after="20"/>
        <w:ind w:left="227"/>
      </w:pPr>
      <w:r>
        <w:t>14 Belt Tracking as a Material-Containment Requirement</w:t>
      </w:r>
    </w:p>
    <w:p>
      <w:pPr>
        <w:spacing w:after="20"/>
        <w:ind w:left="227"/>
      </w:pPr>
      <w:r>
        <w:t>15 U4 Tripper Car — Strong Local Cause-and-Effect Example</w:t>
      </w:r>
    </w:p>
    <w:p>
      <w:pPr>
        <w:spacing w:after="20"/>
        <w:ind w:left="227"/>
      </w:pPr>
      <w:r>
        <w:t>16 L3 — Alignment Concern Without Proven Solid-Product Causal Chain</w:t>
      </w:r>
    </w:p>
    <w:p>
      <w:pPr>
        <w:spacing w:after="20"/>
        <w:ind w:left="227"/>
      </w:pPr>
      <w:r>
        <w:t>17 Water as a Material-Transport and Deterioration Mechanism</w:t>
      </w:r>
    </w:p>
    <w:p>
      <w:pPr>
        <w:spacing w:after="20"/>
        <w:ind w:left="227"/>
      </w:pPr>
      <w:r>
        <w:t>18 Screens — Confirmed Water Escape / Separate Structural Story</w:t>
      </w:r>
    </w:p>
    <w:p>
      <w:pPr>
        <w:spacing w:after="20"/>
        <w:ind w:left="227"/>
      </w:pPr>
      <w:r>
        <w:t>19 L1 — Spillage, Historical Belt Contact and Structural Deterioration</w:t>
      </w:r>
    </w:p>
    <w:p>
      <w:pPr>
        <w:spacing w:after="20"/>
        <w:ind w:left="227"/>
      </w:pPr>
      <w:r>
        <w:t>20 Trips, Restart and Manual Product Removal</w:t>
      </w:r>
    </w:p>
    <w:p>
      <w:pPr>
        <w:spacing w:after="20"/>
        <w:ind w:left="227"/>
      </w:pPr>
      <w:r>
        <w:t>21 Housekeeping — Necessary but Not the Primary Solution</w:t>
      </w:r>
    </w:p>
    <w:p>
      <w:pPr>
        <w:spacing w:after="20"/>
        <w:ind w:left="227"/>
      </w:pPr>
      <w:r>
        <w:t>22 Consolidated Engineering Interpretation</w:t>
      </w:r>
    </w:p>
    <w:p>
      <w:pPr>
        <w:spacing w:after="20"/>
        <w:ind w:left="227"/>
      </w:pPr>
      <w:r>
        <w:t>23 Engineering Control Philosophy — Keep the Combined Product Inside the Process</w:t>
      </w:r>
    </w:p>
    <w:p>
      <w:pPr>
        <w:spacing w:after="20"/>
        <w:ind w:left="0"/>
      </w:pPr>
      <w:r>
        <w:t>24 Programme Structure and Implementation Principle</w:t>
      </w:r>
    </w:p>
    <w:p>
      <w:pPr>
        <w:spacing w:after="20"/>
        <w:ind w:left="0"/>
      </w:pPr>
      <w:r>
        <w:t>25 Priority 2 — Correct or Verify Local Material-Loss / Alignment Mechanisms</w:t>
      </w:r>
    </w:p>
    <w:p>
      <w:pPr>
        <w:spacing w:after="20"/>
        <w:ind w:left="0"/>
      </w:pPr>
      <w:r>
        <w:t>26 Priority 3 — Water Containment and Structural Actions</w:t>
      </w:r>
    </w:p>
    <w:p>
      <w:pPr>
        <w:spacing w:after="20"/>
        <w:ind w:left="0"/>
      </w:pPr>
      <w:r>
        <w:t>27 Priority 4 — Extend Proven Controls Where Applicable</w:t>
      </w:r>
    </w:p>
    <w:p>
      <w:pPr>
        <w:spacing w:after="20"/>
        <w:ind w:left="0"/>
      </w:pPr>
      <w:r>
        <w:t>28 Priority 5 — Operational and Housekeeping Governance</w:t>
      </w:r>
    </w:p>
    <w:p>
      <w:pPr>
        <w:spacing w:after="20"/>
        <w:ind w:left="0"/>
      </w:pPr>
      <w:r>
        <w:t>29 Conclusion</w:t>
      </w:r>
    </w:p>
    <w:p>
      <w:pPr>
        <w:pStyle w:val="BodyText"/>
        <w:spacing w:after="120" w:line="259" w:lineRule="auto"/>
      </w:pPr>
      <w:r>
        <w:t>Page numbers remain provisional in this V0.3 compilation draft. Refresh the automatic Table of Contents, List of Figures, List of Tables and final cross-references during the Phase 8 publication-formatting pass.</w:t>
      </w:r>
    </w:p>
    <w:p>
      <w:pPr>
        <w:pStyle w:val="Heading2"/>
        <w:keepNext/>
      </w:pPr>
      <w:r>
        <w:rPr>
          <w:rFonts w:ascii="Arial" w:hAnsi="Arial"/>
        </w:rPr>
        <w:t>List of Figures</w:t>
      </w:r>
    </w:p>
    <w:p>
      <w:pPr>
        <w:pStyle w:val="BodyText"/>
        <w:spacing w:after="120" w:line="259" w:lineRule="auto"/>
      </w:pPr>
      <w:r>
        <w:t>Figure numbering and final captions remain provisional during compilation. Canonical evidence IDs and controlled conceptual-drawing IDs are retained so the final automatic List of Figures can be generated without losing traceability.</w:t>
      </w:r>
    </w:p>
    <w:p>
      <w:pPr>
        <w:pStyle w:val="Heading2"/>
        <w:keepNext/>
      </w:pPr>
      <w:r>
        <w:rPr>
          <w:rFonts w:ascii="Arial" w:hAnsi="Arial"/>
        </w:rPr>
        <w:t>List of Tables</w:t>
      </w:r>
    </w:p>
    <w:p>
      <w:pPr>
        <w:pStyle w:val="BodyText"/>
        <w:spacing w:after="120" w:line="259" w:lineRule="auto"/>
      </w:pPr>
      <w:r>
        <w:t>Table numbering and final cross-references will be refreshed during the Phase 8 publication-formatting pass after V0.3 technical review.</w:t>
      </w:r>
    </w:p>
    <w:p>
      <w:r>
        <w:rPr>
          <w:rFonts w:ascii="Arial" w:hAnsi="Arial"/>
        </w:rPr>
        <w:br w:type="page"/>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PART I — WHY THE AUDIT WAS UNDERTAKEN</w:t>
            </w:r>
          </w:p>
        </w:tc>
      </w:tr>
    </w:tbl>
    <w:p>
      <w:pPr>
        <w:pStyle w:val="Heading1"/>
        <w:keepNext/>
      </w:pPr>
      <w:r>
        <w:rPr>
          <w:rFonts w:ascii="Arial" w:hAnsi="Arial"/>
          <w:b/>
        </w:rPr>
        <w:t>1 Executive Summary</w:t>
      </w:r>
    </w:p>
    <w:p>
      <w:pPr>
        <w:pStyle w:val="BodyText"/>
        <w:keepLines w:val="0"/>
        <w:spacing w:after="80" w:line="252" w:lineRule="auto"/>
      </w:pPr>
      <w:r>
        <w:t>Spillage was observed at multiple locations across the Wessels material-handling system, from the underground crusher and conveyor route through the surface screening and loading-station areas. The audit was undertaken to determine whether these deposits were isolated housekeeping problems or evidence of broader failures to retain combined product and process water within their intended handling envelopes.</w:t>
      </w:r>
    </w:p>
    <w:p>
      <w:pPr>
        <w:pStyle w:val="BodyText"/>
        <w:keepLines w:val="0"/>
        <w:spacing w:after="80" w:line="252" w:lineRule="auto"/>
      </w:pPr>
      <w:r>
        <w:t>The audit found no single universal spillage mechanism. The dominant recurring pattern is fines/carryback, while local mechanisms include coarse/mixed product leaving the carrying envelope, mistracking/alignment, loading and side-containment limitations, process-water escape, and event-driven product removal associated with trips or restart preparation.</w:t>
      </w:r>
    </w:p>
    <w:p>
      <w:pPr>
        <w:pStyle w:val="BodyText"/>
        <w:keepLines w:val="0"/>
        <w:spacing w:after="80" w:line="252" w:lineRule="auto"/>
      </w:pPr>
      <w:r>
        <w:t>A central finding is that the place where material is deposited may differ from the place where the loss mechanism begins. Carryback can detach progressively downstream, water can mobilise fines away from an escape point, mistracking can reduce carrying margin before product is lost, and controlled trip/restart clearing can create a secondary deposit away from the initiating event.</w:t>
      </w:r>
    </w:p>
    <w:p>
      <w:pPr>
        <w:pStyle w:val="BodyText"/>
        <w:keepLines w:val="0"/>
        <w:spacing w:after="80" w:line="252" w:lineRule="auto"/>
      </w:pPr>
      <w:r>
        <w:t>The recurring problem is therefore fundamentally one of material/process containment rather than plant cleanliness. Housekeeping remains necessary for safe access and recovery, but repeated cleaning does not demonstrate that the initiating source has been controlled.</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AUDIT TAKEAWAY</w:t>
            </w:r>
          </w:p>
        </w:tc>
        <w:tc>
          <w:tcPr>
            <w:tcW w:type="dxa" w:w="4876"/>
            <w:shd w:fill="EEF3F8"/>
            <w:tcMar>
              <w:top w:w="80" w:type="dxa"/>
              <w:start w:w="100" w:type="dxa"/>
              <w:bottom w:w="80" w:type="dxa"/>
              <w:end w:w="100" w:type="dxa"/>
            </w:tcMar>
            <w:vAlign w:val="center"/>
          </w:tcPr>
          <w:p>
            <w:r/>
            <w:r>
              <w:rPr>
                <w:b w:val="0"/>
                <w:sz w:val="18"/>
              </w:rPr>
              <w:t>The inspected system does not present one spillage defect or a collection of unrelated housekeeping problems. It presents several material-containment mechanisms that require one coherent control philosophy and different location-specific engineering responses.</w:t>
            </w:r>
          </w:p>
        </w:tc>
      </w:tr>
    </w:tbl>
    <w:p>
      <w:pPr>
        <w:pStyle w:val="BodyText"/>
        <w:keepLines w:val="0"/>
        <w:spacing w:after="80" w:line="252" w:lineRule="auto"/>
      </w:pPr>
      <w:r>
        <w:t>The higher-order engineering objective is to keep the combined product — fines and coarse/lump ore — within the intended process/material-handling envelope throughout transit, and to keep process water within its intended operating envelope, using controls appropriate to the specific failure mechanism and local geometry.</w:t>
      </w:r>
    </w:p>
    <w:p>
      <w:pPr>
        <w:pStyle w:val="BodyText"/>
      </w:pPr>
      <w:r>
        <w:t>CV09 is the preferred pilot for proving an integrated cleaner-and-containment function. U4, Sample Conveyor 3, Sample Conveyor 2, W10, the Screens, L1 and L3 require targeted verification or corrective actions because the evidence strength, mechanism and physical geometry differ. Close-out should demonstrate functional performance under representative operating conditions rather than task completion or a temporarily clean plant area.</w:t>
      </w:r>
    </w:p>
    <w:p>
      <w:pPr>
        <w:pStyle w:val="Heading1"/>
        <w:keepNext/>
      </w:pPr>
      <w:r>
        <w:rPr>
          <w:rFonts w:ascii="Arial" w:hAnsi="Arial"/>
          <w:b/>
        </w:rPr>
        <w:t>2 Purpose and Objectives</w:t>
      </w:r>
    </w:p>
    <w:p>
      <w:pPr>
        <w:pStyle w:val="BodyText"/>
        <w:keepLines w:val="0"/>
        <w:spacing w:after="80" w:line="252" w:lineRule="auto"/>
      </w:pPr>
      <w:r>
        <w:t>The purpose of the audit is to identify where combined product or process water is escaping its intended handling path, establish the strongest supportable mechanism and contributing condition at each important case, distinguish recurring system themes from local asset-specific conditions, and define practical engineering, maintenance and operational actions with explicit verification and close-out requirements.</w:t>
      </w:r>
    </w:p>
    <w:p>
      <w:pPr>
        <w:pStyle w:val="ListBullet"/>
        <w:spacing w:after="30"/>
      </w:pPr>
      <w:r>
        <w:rPr>
          <w:rFonts w:ascii="Arial" w:hAnsi="Arial"/>
          <w:b w:val="0"/>
          <w:color w:val="262626"/>
          <w:sz w:val="18"/>
        </w:rPr>
        <w:t>Identify the material types and locations at which visible losses occur.</w:t>
      </w:r>
    </w:p>
    <w:p>
      <w:pPr>
        <w:pStyle w:val="ListBullet"/>
        <w:spacing w:after="30"/>
      </w:pPr>
      <w:r>
        <w:rPr>
          <w:rFonts w:ascii="Arial" w:hAnsi="Arial"/>
          <w:b w:val="0"/>
          <w:color w:val="262626"/>
          <w:sz w:val="18"/>
        </w:rPr>
        <w:t>Determine the immediate mechanism and contributing condition where the available evidence supports that conclusion.</w:t>
      </w:r>
    </w:p>
    <w:p>
      <w:pPr>
        <w:pStyle w:val="ListBullet"/>
        <w:spacing w:after="30"/>
      </w:pPr>
      <w:r>
        <w:rPr>
          <w:rFonts w:ascii="Arial" w:hAnsi="Arial"/>
          <w:b w:val="0"/>
          <w:color w:val="262626"/>
          <w:sz w:val="18"/>
        </w:rPr>
        <w:t>Distinguish visually proven conditions from inspector-recorded observations, engineering interpretation and unresolved verification items.</w:t>
      </w:r>
    </w:p>
    <w:p>
      <w:pPr>
        <w:pStyle w:val="ListBullet"/>
        <w:spacing w:after="30"/>
      </w:pPr>
      <w:r>
        <w:rPr>
          <w:rFonts w:ascii="Arial" w:hAnsi="Arial"/>
          <w:b w:val="0"/>
          <w:color w:val="262626"/>
          <w:sz w:val="18"/>
        </w:rPr>
        <w:t>Develop practical source-control, containment, maintenance, alignment, structural and operational actions.</w:t>
      </w:r>
    </w:p>
    <w:p>
      <w:pPr>
        <w:pStyle w:val="ListBullet"/>
        <w:spacing w:after="30"/>
      </w:pPr>
      <w:r>
        <w:rPr>
          <w:rFonts w:ascii="Arial" w:hAnsi="Arial"/>
          <w:b w:val="0"/>
          <w:color w:val="262626"/>
          <w:sz w:val="18"/>
        </w:rPr>
        <w:t>Provide a controlled evidence record that allows engineering and maintenance personnel to trace each major conclusion back to the inspection evidence.</w:t>
      </w:r>
    </w:p>
    <w:p>
      <w:pPr>
        <w:pStyle w:val="BodyText"/>
        <w:keepLines w:val="0"/>
        <w:spacing w:after="80" w:line="252" w:lineRule="auto"/>
      </w:pPr>
      <w:r>
        <w:t>The audit is qualitative and mechanism-focused. It does not infer total lost tonnage or volume from photographs, and it does not introduce unverified numerical tolerances, feed rates, structural capacities or OEM limits. Visible extent is used to describe the inspected condition; unknown magnitudes remain measurement, design-development or competent-assessment items.</w:t>
      </w:r>
    </w:p>
    <w:p>
      <w:pPr>
        <w:pStyle w:val="Heading1"/>
        <w:keepNext/>
      </w:pPr>
      <w:r>
        <w:rPr>
          <w:rFonts w:ascii="Arial" w:hAnsi="Arial"/>
          <w:b/>
        </w:rPr>
        <w:t>3 Scope of the Audit</w:t>
      </w:r>
    </w:p>
    <w:p>
      <w:pPr>
        <w:pStyle w:val="BodyText"/>
        <w:keepLines w:val="0"/>
        <w:spacing w:after="80" w:line="252" w:lineRule="auto"/>
      </w:pPr>
      <w:r>
        <w:rPr>
          <w:rFonts w:ascii="Arial" w:hAnsi="Arial"/>
          <w:b w:val="0"/>
          <w:i w:val="0"/>
          <w:color w:val="262626"/>
          <w:sz w:val="19"/>
        </w:rPr>
        <w:t>The inspected locations form one connected material-handling route and are treated as an ecosystem rather than as an unrelated list of assets.</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cantSplit/>
        </w:trPr>
        <w:tc>
          <w:tcPr>
            <w:tcW w:type="dxa" w:w="3024"/>
            <w:shd w:fill="DCE6F1"/>
            <w:tcMar>
              <w:top w:w="70" w:type="dxa"/>
              <w:start w:w="80" w:type="dxa"/>
              <w:bottom w:w="70" w:type="dxa"/>
              <w:end w:w="80" w:type="dxa"/>
            </w:tcMar>
          </w:tcPr>
          <w:p>
            <w:pPr>
              <w:keepLines/>
            </w:pPr>
            <w:r/>
            <w:r>
              <w:rPr>
                <w:rFonts w:ascii="Arial" w:hAnsi="Arial"/>
                <w:b/>
                <w:color w:val="17365D"/>
                <w:sz w:val="15"/>
              </w:rPr>
              <w:t>Process area</w:t>
            </w:r>
          </w:p>
        </w:tc>
        <w:tc>
          <w:tcPr>
            <w:tcW w:type="dxa" w:w="7200"/>
            <w:shd w:fill="DCE6F1"/>
            <w:tcMar>
              <w:top w:w="70" w:type="dxa"/>
              <w:start w:w="80" w:type="dxa"/>
              <w:bottom w:w="70" w:type="dxa"/>
              <w:end w:w="80" w:type="dxa"/>
            </w:tcMar>
          </w:tcPr>
          <w:p>
            <w:pPr>
              <w:keepLines/>
            </w:pPr>
            <w:r/>
            <w:r>
              <w:rPr>
                <w:rFonts w:ascii="Arial" w:hAnsi="Arial"/>
                <w:b/>
                <w:color w:val="17365D"/>
                <w:sz w:val="15"/>
              </w:rPr>
              <w:t>Included assets / groups</w:t>
            </w:r>
          </w:p>
        </w:tc>
      </w:tr>
      <w:tr>
        <w:trPr>
          <w:cantSplit/>
          <w:cantSplit/>
        </w:trPr>
        <w:tc>
          <w:tcPr>
            <w:tcW w:type="dxa" w:w="3024"/>
            <w:tcMar>
              <w:top w:w="65" w:type="dxa"/>
              <w:start w:w="80" w:type="dxa"/>
              <w:bottom w:w="65" w:type="dxa"/>
              <w:end w:w="80" w:type="dxa"/>
            </w:tcMar>
          </w:tcPr>
          <w:p>
            <w:pPr>
              <w:keepLines/>
            </w:pPr>
            <w:r/>
            <w:r>
              <w:rPr>
                <w:rFonts w:ascii="Arial" w:hAnsi="Arial"/>
                <w:b w:val="0"/>
                <w:color w:val="262626"/>
                <w:sz w:val="16"/>
              </w:rPr>
              <w:t>Underground — Central Block</w:t>
            </w:r>
          </w:p>
        </w:tc>
        <w:tc>
          <w:tcPr>
            <w:tcW w:type="dxa" w:w="7200"/>
            <w:tcMar>
              <w:top w:w="65" w:type="dxa"/>
              <w:start w:w="80" w:type="dxa"/>
              <w:bottom w:w="65" w:type="dxa"/>
              <w:end w:w="80" w:type="dxa"/>
            </w:tcMar>
          </w:tcPr>
          <w:p>
            <w:pPr>
              <w:keepLines/>
            </w:pPr>
            <w:r/>
            <w:r>
              <w:rPr>
                <w:rFonts w:ascii="Arial" w:hAnsi="Arial"/>
                <w:b w:val="0"/>
                <w:color w:val="262626"/>
                <w:sz w:val="16"/>
              </w:rPr>
              <w:t>Underground Crusher; UC05 / UC04 / UC03 / UC02 / UC01 continuous conveyor system</w:t>
            </w:r>
          </w:p>
        </w:tc>
      </w:tr>
      <w:tr>
        <w:trPr>
          <w:cantSplit/>
          <w:cantSplit/>
        </w:trPr>
        <w:tc>
          <w:tcPr>
            <w:tcW w:type="dxa" w:w="3024"/>
            <w:tcMar>
              <w:top w:w="65" w:type="dxa"/>
              <w:start w:w="80" w:type="dxa"/>
              <w:bottom w:w="65" w:type="dxa"/>
              <w:end w:w="80" w:type="dxa"/>
            </w:tcMar>
          </w:tcPr>
          <w:p>
            <w:pPr>
              <w:keepLines/>
            </w:pPr>
            <w:r/>
            <w:r>
              <w:rPr>
                <w:rFonts w:ascii="Arial" w:hAnsi="Arial"/>
                <w:b w:val="0"/>
                <w:color w:val="262626"/>
                <w:sz w:val="16"/>
              </w:rPr>
              <w:t>Underground — Secondary Plant</w:t>
            </w:r>
          </w:p>
        </w:tc>
        <w:tc>
          <w:tcPr>
            <w:tcW w:type="dxa" w:w="7200"/>
            <w:tcMar>
              <w:top w:w="65" w:type="dxa"/>
              <w:start w:w="80" w:type="dxa"/>
              <w:bottom w:w="65" w:type="dxa"/>
              <w:end w:w="80" w:type="dxa"/>
            </w:tcMar>
          </w:tcPr>
          <w:p>
            <w:pPr>
              <w:keepLines/>
            </w:pPr>
            <w:r/>
            <w:r>
              <w:rPr>
                <w:rFonts w:ascii="Arial" w:hAnsi="Arial"/>
                <w:b w:val="0"/>
                <w:color w:val="262626"/>
                <w:sz w:val="16"/>
              </w:rPr>
              <w:t>U3 Conveyor; U4 Tripper Car</w:t>
            </w:r>
          </w:p>
        </w:tc>
      </w:tr>
      <w:tr>
        <w:trPr>
          <w:cantSplit/>
          <w:cantSplit/>
        </w:trPr>
        <w:tc>
          <w:tcPr>
            <w:tcW w:type="dxa" w:w="3024"/>
            <w:tcMar>
              <w:top w:w="65" w:type="dxa"/>
              <w:start w:w="80" w:type="dxa"/>
              <w:bottom w:w="65" w:type="dxa"/>
              <w:end w:w="80" w:type="dxa"/>
            </w:tcMar>
          </w:tcPr>
          <w:p>
            <w:pPr>
              <w:keepLines/>
            </w:pPr>
            <w:r/>
            <w:r>
              <w:rPr>
                <w:rFonts w:ascii="Arial" w:hAnsi="Arial"/>
                <w:b w:val="0"/>
                <w:color w:val="262626"/>
                <w:sz w:val="16"/>
              </w:rPr>
              <w:t>Underground — Silos / Feeders</w:t>
            </w:r>
          </w:p>
        </w:tc>
        <w:tc>
          <w:tcPr>
            <w:tcW w:type="dxa" w:w="7200"/>
            <w:tcMar>
              <w:top w:w="65" w:type="dxa"/>
              <w:start w:w="80" w:type="dxa"/>
              <w:bottom w:w="65" w:type="dxa"/>
              <w:end w:w="80" w:type="dxa"/>
            </w:tcMar>
          </w:tcPr>
          <w:p>
            <w:pPr>
              <w:keepLines/>
            </w:pPr>
            <w:r/>
            <w:r>
              <w:rPr>
                <w:rFonts w:ascii="Arial" w:hAnsi="Arial"/>
                <w:b w:val="0"/>
                <w:color w:val="262626"/>
                <w:sz w:val="16"/>
              </w:rPr>
              <w:t>U5A Conveyor; U5B Conveyor</w:t>
            </w:r>
          </w:p>
        </w:tc>
      </w:tr>
      <w:tr>
        <w:trPr>
          <w:cantSplit/>
          <w:cantSplit/>
        </w:trPr>
        <w:tc>
          <w:tcPr>
            <w:tcW w:type="dxa" w:w="3024"/>
            <w:tcMar>
              <w:top w:w="65" w:type="dxa"/>
              <w:start w:w="80" w:type="dxa"/>
              <w:bottom w:w="65" w:type="dxa"/>
              <w:end w:w="80" w:type="dxa"/>
            </w:tcMar>
          </w:tcPr>
          <w:p>
            <w:pPr>
              <w:keepLines/>
            </w:pPr>
            <w:r/>
            <w:r>
              <w:rPr>
                <w:rFonts w:ascii="Arial" w:hAnsi="Arial"/>
                <w:b w:val="0"/>
                <w:color w:val="262626"/>
                <w:sz w:val="16"/>
              </w:rPr>
              <w:t>Surface — Screening / Transfer</w:t>
            </w:r>
          </w:p>
        </w:tc>
        <w:tc>
          <w:tcPr>
            <w:tcW w:type="dxa" w:w="7200"/>
            <w:tcMar>
              <w:top w:w="65" w:type="dxa"/>
              <w:start w:w="80" w:type="dxa"/>
              <w:bottom w:w="65" w:type="dxa"/>
              <w:end w:w="80" w:type="dxa"/>
            </w:tcMar>
          </w:tcPr>
          <w:p>
            <w:pPr>
              <w:keepLines/>
            </w:pPr>
            <w:r/>
            <w:r>
              <w:rPr>
                <w:rFonts w:ascii="Arial" w:hAnsi="Arial"/>
                <w:b w:val="0"/>
                <w:color w:val="262626"/>
                <w:sz w:val="16"/>
              </w:rPr>
              <w:t>W10; CV01; CV02; CV03; CV04; CV06; CV09; CV14; CV15; Screens / screen chutes</w:t>
            </w:r>
          </w:p>
        </w:tc>
      </w:tr>
      <w:tr>
        <w:trPr>
          <w:cantSplit/>
          <w:cantSplit/>
        </w:trPr>
        <w:tc>
          <w:tcPr>
            <w:tcW w:type="dxa" w:w="3024"/>
            <w:tcMar>
              <w:top w:w="65" w:type="dxa"/>
              <w:start w:w="80" w:type="dxa"/>
              <w:bottom w:w="65" w:type="dxa"/>
              <w:end w:w="80" w:type="dxa"/>
            </w:tcMar>
          </w:tcPr>
          <w:p>
            <w:pPr>
              <w:keepLines/>
            </w:pPr>
            <w:r/>
            <w:r>
              <w:rPr>
                <w:rFonts w:ascii="Arial" w:hAnsi="Arial"/>
                <w:b w:val="0"/>
                <w:color w:val="262626"/>
                <w:sz w:val="16"/>
              </w:rPr>
              <w:t>Surface — Loading Station</w:t>
            </w:r>
          </w:p>
        </w:tc>
        <w:tc>
          <w:tcPr>
            <w:tcW w:type="dxa" w:w="7200"/>
            <w:tcMar>
              <w:top w:w="65" w:type="dxa"/>
              <w:start w:w="80" w:type="dxa"/>
              <w:bottom w:w="65" w:type="dxa"/>
              <w:end w:w="80" w:type="dxa"/>
            </w:tcMar>
          </w:tcPr>
          <w:p>
            <w:pPr>
              <w:keepLines/>
            </w:pPr>
            <w:r/>
            <w:r>
              <w:rPr>
                <w:rFonts w:ascii="Arial" w:hAnsi="Arial"/>
                <w:b w:val="0"/>
                <w:color w:val="262626"/>
                <w:sz w:val="16"/>
              </w:rPr>
              <w:t>L1; L2; L3; L4; Sample Conveyors 1, 2 and 3</w:t>
            </w:r>
          </w:p>
        </w:tc>
      </w:tr>
    </w:tbl>
    <w:p>
      <w:pPr>
        <w:pStyle w:val="BodyText"/>
        <w:keepLines w:val="0"/>
        <w:spacing w:after="80" w:line="252" w:lineRule="auto"/>
      </w:pPr>
      <w:r>
        <w:rPr>
          <w:rFonts w:ascii="Arial" w:hAnsi="Arial"/>
          <w:b w:val="0"/>
          <w:i w:val="0"/>
          <w:color w:val="262626"/>
          <w:sz w:val="19"/>
        </w:rPr>
        <w:t>CV05, CV07, CV08, CV10, CV11, CV12 and CV13 are outside the integrated scope of this report. The evidence record remains limited to the 23 controlled inspection groups represented in the final evidence matrix.</w:t>
      </w:r>
    </w:p>
    <w:p>
      <w:pPr>
        <w:pStyle w:val="Heading1"/>
        <w:keepNext/>
      </w:pPr>
      <w:r>
        <w:rPr>
          <w:rFonts w:ascii="Arial" w:hAnsi="Arial"/>
          <w:b/>
        </w:rPr>
        <w:t>4 Methodology, Evidence Basis and Limitations</w:t>
      </w:r>
    </w:p>
    <w:p>
      <w:pPr>
        <w:pStyle w:val="BodyText"/>
        <w:keepLines w:val="0"/>
        <w:spacing w:after="80" w:line="252" w:lineRule="auto"/>
      </w:pPr>
      <w:r>
        <w:t>The assessment combines site inspection observations, still photographs, inspection videos, completed questionnaires, the consolidated contextual engineering notes, six controlled visual-review batches and the final 197-item evidence/story matrix. Each evidence item retains its canonical ID so that management-level narrative can remain readable while engineering and maintenance readers retain full traceability.</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cantSplit/>
        </w:trPr>
        <w:tc>
          <w:tcPr>
            <w:tcW w:type="dxa" w:w="2880"/>
            <w:shd w:fill="DCE6F1"/>
            <w:tcMar>
              <w:top w:w="70" w:type="dxa"/>
              <w:start w:w="80" w:type="dxa"/>
              <w:bottom w:w="70" w:type="dxa"/>
              <w:end w:w="80" w:type="dxa"/>
            </w:tcMar>
          </w:tcPr>
          <w:p>
            <w:pPr>
              <w:keepLines/>
            </w:pPr>
            <w:r/>
            <w:r>
              <w:rPr>
                <w:rFonts w:ascii="Arial" w:hAnsi="Arial"/>
                <w:b/>
                <w:color w:val="17365D"/>
                <w:sz w:val="15"/>
              </w:rPr>
              <w:t>Evidence / statement type</w:t>
            </w:r>
          </w:p>
        </w:tc>
        <w:tc>
          <w:tcPr>
            <w:tcW w:type="dxa" w:w="7344"/>
            <w:shd w:fill="DCE6F1"/>
            <w:tcMar>
              <w:top w:w="70" w:type="dxa"/>
              <w:start w:w="80" w:type="dxa"/>
              <w:bottom w:w="70" w:type="dxa"/>
              <w:end w:w="80" w:type="dxa"/>
            </w:tcMar>
          </w:tcPr>
          <w:p>
            <w:pPr>
              <w:keepLines/>
            </w:pPr>
            <w:r/>
            <w:r>
              <w:rPr>
                <w:rFonts w:ascii="Arial" w:hAnsi="Arial"/>
                <w:b/>
                <w:color w:val="17365D"/>
                <w:sz w:val="15"/>
              </w:rPr>
              <w:t>Meaning in this report</w:t>
            </w:r>
          </w:p>
        </w:tc>
      </w:tr>
      <w:tr>
        <w:trPr>
          <w:cantSplit/>
          <w:cantSplit/>
        </w:trPr>
        <w:tc>
          <w:tcPr>
            <w:tcW w:type="dxa" w:w="2880"/>
            <w:tcMar>
              <w:top w:w="65" w:type="dxa"/>
              <w:start w:w="80" w:type="dxa"/>
              <w:bottom w:w="65" w:type="dxa"/>
              <w:end w:w="80" w:type="dxa"/>
            </w:tcMar>
          </w:tcPr>
          <w:p>
            <w:pPr>
              <w:keepLines/>
            </w:pPr>
            <w:r/>
            <w:r>
              <w:rPr>
                <w:rFonts w:ascii="Arial" w:hAnsi="Arial"/>
                <w:b w:val="0"/>
                <w:color w:val="262626"/>
                <w:sz w:val="15"/>
              </w:rPr>
              <w:t>Direct observation</w:t>
            </w:r>
          </w:p>
        </w:tc>
        <w:tc>
          <w:tcPr>
            <w:tcW w:type="dxa" w:w="7344"/>
            <w:tcMar>
              <w:top w:w="65" w:type="dxa"/>
              <w:start w:w="80" w:type="dxa"/>
              <w:bottom w:w="65" w:type="dxa"/>
              <w:end w:w="80" w:type="dxa"/>
            </w:tcMar>
          </w:tcPr>
          <w:p>
            <w:pPr>
              <w:keepLines/>
            </w:pPr>
            <w:r/>
            <w:r>
              <w:rPr>
                <w:rFonts w:ascii="Arial" w:hAnsi="Arial"/>
                <w:b w:val="0"/>
                <w:color w:val="262626"/>
                <w:sz w:val="15"/>
              </w:rPr>
              <w:t>Condition recorded directly during the inspection by the inspector.</w:t>
            </w:r>
          </w:p>
        </w:tc>
      </w:tr>
      <w:tr>
        <w:trPr>
          <w:cantSplit/>
          <w:cantSplit/>
        </w:trPr>
        <w:tc>
          <w:tcPr>
            <w:tcW w:type="dxa" w:w="2880"/>
            <w:tcMar>
              <w:top w:w="65" w:type="dxa"/>
              <w:start w:w="80" w:type="dxa"/>
              <w:bottom w:w="65" w:type="dxa"/>
              <w:end w:w="80" w:type="dxa"/>
            </w:tcMar>
          </w:tcPr>
          <w:p>
            <w:pPr>
              <w:keepLines/>
            </w:pPr>
            <w:r/>
            <w:r>
              <w:rPr>
                <w:rFonts w:ascii="Arial" w:hAnsi="Arial"/>
                <w:b w:val="0"/>
                <w:color w:val="262626"/>
                <w:sz w:val="15"/>
              </w:rPr>
              <w:t>Visual evidence-supported</w:t>
            </w:r>
          </w:p>
        </w:tc>
        <w:tc>
          <w:tcPr>
            <w:tcW w:type="dxa" w:w="7344"/>
            <w:tcMar>
              <w:top w:w="65" w:type="dxa"/>
              <w:start w:w="80" w:type="dxa"/>
              <w:bottom w:w="65" w:type="dxa"/>
              <w:end w:w="80" w:type="dxa"/>
            </w:tcMar>
          </w:tcPr>
          <w:p>
            <w:pPr>
              <w:keepLines/>
            </w:pPr>
            <w:r/>
            <w:r>
              <w:rPr>
                <w:rFonts w:ascii="Arial" w:hAnsi="Arial"/>
                <w:b w:val="0"/>
                <w:color w:val="262626"/>
                <w:sz w:val="15"/>
              </w:rPr>
              <w:t>Condition materially demonstrated by supplied photographs or video.</w:t>
            </w:r>
          </w:p>
        </w:tc>
      </w:tr>
      <w:tr>
        <w:trPr>
          <w:cantSplit/>
          <w:cantSplit/>
        </w:trPr>
        <w:tc>
          <w:tcPr>
            <w:tcW w:type="dxa" w:w="2880"/>
            <w:tcMar>
              <w:top w:w="65" w:type="dxa"/>
              <w:start w:w="80" w:type="dxa"/>
              <w:bottom w:w="65" w:type="dxa"/>
              <w:end w:w="80" w:type="dxa"/>
            </w:tcMar>
          </w:tcPr>
          <w:p>
            <w:pPr>
              <w:keepLines/>
            </w:pPr>
            <w:r/>
            <w:r>
              <w:rPr>
                <w:rFonts w:ascii="Arial" w:hAnsi="Arial"/>
                <w:b w:val="0"/>
                <w:color w:val="262626"/>
                <w:sz w:val="15"/>
              </w:rPr>
              <w:t>Source-recorded information</w:t>
            </w:r>
          </w:p>
        </w:tc>
        <w:tc>
          <w:tcPr>
            <w:tcW w:type="dxa" w:w="7344"/>
            <w:tcMar>
              <w:top w:w="65" w:type="dxa"/>
              <w:start w:w="80" w:type="dxa"/>
              <w:bottom w:w="65" w:type="dxa"/>
              <w:end w:w="80" w:type="dxa"/>
            </w:tcMar>
          </w:tcPr>
          <w:p>
            <w:pPr>
              <w:keepLines/>
            </w:pPr>
            <w:r/>
            <w:r>
              <w:rPr>
                <w:rFonts w:ascii="Arial" w:hAnsi="Arial"/>
                <w:b w:val="0"/>
                <w:color w:val="262626"/>
                <w:sz w:val="15"/>
              </w:rPr>
              <w:t>Operating, maintenance or historical information retained from inspection records/questionnaires.</w:t>
            </w:r>
          </w:p>
        </w:tc>
      </w:tr>
      <w:tr>
        <w:trPr>
          <w:cantSplit/>
          <w:cantSplit/>
        </w:trPr>
        <w:tc>
          <w:tcPr>
            <w:tcW w:type="dxa" w:w="2880"/>
            <w:tcMar>
              <w:top w:w="65" w:type="dxa"/>
              <w:start w:w="80" w:type="dxa"/>
              <w:bottom w:w="65" w:type="dxa"/>
              <w:end w:w="80" w:type="dxa"/>
            </w:tcMar>
          </w:tcPr>
          <w:p>
            <w:pPr>
              <w:keepLines/>
            </w:pPr>
            <w:r/>
            <w:r>
              <w:rPr>
                <w:rFonts w:ascii="Arial" w:hAnsi="Arial"/>
                <w:b w:val="0"/>
                <w:color w:val="262626"/>
                <w:sz w:val="15"/>
              </w:rPr>
              <w:t>Engineering interpretation / hypothesis</w:t>
            </w:r>
          </w:p>
        </w:tc>
        <w:tc>
          <w:tcPr>
            <w:tcW w:type="dxa" w:w="7344"/>
            <w:tcMar>
              <w:top w:w="65" w:type="dxa"/>
              <w:start w:w="80" w:type="dxa"/>
              <w:bottom w:w="65" w:type="dxa"/>
              <w:end w:w="80" w:type="dxa"/>
            </w:tcMar>
          </w:tcPr>
          <w:p>
            <w:pPr>
              <w:keepLines/>
            </w:pPr>
            <w:r/>
            <w:r>
              <w:rPr>
                <w:rFonts w:ascii="Arial" w:hAnsi="Arial"/>
                <w:b w:val="0"/>
                <w:color w:val="262626"/>
                <w:sz w:val="15"/>
              </w:rPr>
              <w:t>Reasoned explanation consistent with the observed condition but not fully proven by the available evidence.</w:t>
            </w:r>
          </w:p>
        </w:tc>
      </w:tr>
      <w:tr>
        <w:trPr>
          <w:cantSplit/>
          <w:cantSplit/>
        </w:trPr>
        <w:tc>
          <w:tcPr>
            <w:tcW w:type="dxa" w:w="2880"/>
            <w:tcMar>
              <w:top w:w="65" w:type="dxa"/>
              <w:start w:w="80" w:type="dxa"/>
              <w:bottom w:w="65" w:type="dxa"/>
              <w:end w:w="80" w:type="dxa"/>
            </w:tcMar>
          </w:tcPr>
          <w:p>
            <w:pPr>
              <w:keepLines/>
            </w:pPr>
            <w:r/>
            <w:r>
              <w:rPr>
                <w:rFonts w:ascii="Arial" w:hAnsi="Arial"/>
                <w:b w:val="0"/>
                <w:color w:val="262626"/>
                <w:sz w:val="15"/>
              </w:rPr>
              <w:t>Working remedial concept</w:t>
            </w:r>
          </w:p>
        </w:tc>
        <w:tc>
          <w:tcPr>
            <w:tcW w:type="dxa" w:w="7344"/>
            <w:tcMar>
              <w:top w:w="65" w:type="dxa"/>
              <w:start w:w="80" w:type="dxa"/>
              <w:bottom w:w="65" w:type="dxa"/>
              <w:end w:w="80" w:type="dxa"/>
            </w:tcMar>
          </w:tcPr>
          <w:p>
            <w:pPr>
              <w:keepLines/>
            </w:pPr>
            <w:r/>
            <w:r>
              <w:rPr>
                <w:rFonts w:ascii="Arial" w:hAnsi="Arial"/>
                <w:b w:val="0"/>
                <w:color w:val="262626"/>
                <w:sz w:val="15"/>
              </w:rPr>
              <w:t>Engineering direction requiring measurement, feasibility and design verification before implementation.</w:t>
            </w:r>
          </w:p>
        </w:tc>
      </w:tr>
      <w:tr>
        <w:trPr>
          <w:cantSplit/>
          <w:cantSplit/>
        </w:trPr>
        <w:tc>
          <w:tcPr>
            <w:tcW w:type="dxa" w:w="2880"/>
            <w:tcMar>
              <w:top w:w="65" w:type="dxa"/>
              <w:start w:w="80" w:type="dxa"/>
              <w:bottom w:w="65" w:type="dxa"/>
              <w:end w:w="80" w:type="dxa"/>
            </w:tcMar>
          </w:tcPr>
          <w:p>
            <w:pPr>
              <w:keepLines/>
            </w:pPr>
            <w:r/>
            <w:r>
              <w:rPr>
                <w:rFonts w:ascii="Arial" w:hAnsi="Arial"/>
                <w:b w:val="0"/>
                <w:color w:val="262626"/>
                <w:sz w:val="15"/>
              </w:rPr>
              <w:t>Unresolved / requires verification</w:t>
            </w:r>
          </w:p>
        </w:tc>
        <w:tc>
          <w:tcPr>
            <w:tcW w:type="dxa" w:w="7344"/>
            <w:tcMar>
              <w:top w:w="65" w:type="dxa"/>
              <w:start w:w="80" w:type="dxa"/>
              <w:bottom w:w="65" w:type="dxa"/>
              <w:end w:w="80" w:type="dxa"/>
            </w:tcMar>
          </w:tcPr>
          <w:p>
            <w:pPr>
              <w:keepLines/>
            </w:pPr>
            <w:r/>
            <w:r>
              <w:rPr>
                <w:rFonts w:ascii="Arial" w:hAnsi="Arial"/>
                <w:b w:val="0"/>
                <w:color w:val="262626"/>
                <w:sz w:val="15"/>
              </w:rPr>
              <w:t>Condition or magnitude that cannot be responsibly closed from the present evidence.</w:t>
            </w:r>
          </w:p>
        </w:tc>
      </w:tr>
    </w:tbl>
    <w:p>
      <w:pPr>
        <w:pStyle w:val="BodyText"/>
        <w:keepLines w:val="0"/>
        <w:spacing w:after="80" w:line="252" w:lineRule="auto"/>
      </w:pPr>
      <w:r>
        <w:t>The inspection was performed around operating industrial equipment and access was limited at some points. Where geometry, offset magnitude, cleaner contact/wear travel, feed quantity, remaining structural capacity, chute dimensions or design limits were not measured, this report does not infer them. Those items are carried forward to the verification register, design-development process or competent structural assessment. Specific evidence boundaries include: Sample Conveyor 2 mistracking unconfirmed; Sample Conveyor 3 offset supported but unmeasured; U4 mistracking/one-sided loss verified but alignment magnitude unmeasured; L3 offset supported without a proven significant solid-product causal chain; Screens water escape verified but the exact equipment-level mechanism unresolved; and L1 previous/intermittent belt contact supported without proof of continuous current contact.</w:t>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PART II — UNDERSTANDING THE MATERIAL-HANDLING SYSTEM</w:t>
            </w:r>
          </w:p>
        </w:tc>
      </w:tr>
    </w:tbl>
    <w:p>
      <w:pPr>
        <w:pStyle w:val="Heading1"/>
        <w:keepNext/>
      </w:pPr>
      <w:r>
        <w:rPr>
          <w:rFonts w:ascii="Arial" w:hAnsi="Arial"/>
          <w:b/>
        </w:rPr>
        <w:t>5 The Material Journey</w:t>
      </w:r>
    </w:p>
    <w:p>
      <w:pPr>
        <w:pStyle w:val="BodyText"/>
        <w:keepLines w:val="0"/>
        <w:spacing w:after="80" w:line="252" w:lineRule="auto"/>
      </w:pPr>
      <w:r>
        <w:t>The material handled by the inspected system is combined product comprising lump/coarse ore together with fines. Fines are naturally present in the product stream and additional fines are generated through crushing and handling. Their presence on the belt is therefore not itself a defect; the audit concern begins when product or process media leave the intended handling envelope before the stage designed to receive them.</w:t>
      </w:r>
    </w:p>
    <w:p>
      <w:pPr>
        <w:pStyle w:val="BodyText"/>
        <w:keepLines w:val="0"/>
        <w:spacing w:after="80" w:line="252" w:lineRule="auto"/>
      </w:pPr>
      <w:r>
        <w:t>From the underground crusher onward, the intended process is to keep coarse/lump ore and fines on the carrying belt to the intended transfer/discharge, remove residual carryback at appropriate discharge locations, keep cleaner-removed material inside the process, retain process water within the screening/washing envelope, and control/recover material deliberately removed during unavoidable operational interventions.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1" name="Picture 1"/>
                  <wp:cNvGraphicFramePr>
                    <a:graphicFrameLocks noChangeAspect="1"/>
                  </wp:cNvGraphicFramePr>
                  <a:graphic>
                    <a:graphicData uri="http://schemas.openxmlformats.org/drawingml/2006/picture">
                      <pic:pic>
                        <pic:nvPicPr>
                          <pic:cNvPr id="0" name="UGCrusher-REF-001.jpg"/>
                          <pic:cNvPicPr/>
                        </pic:nvPicPr>
                        <pic:blipFill>
                          <a:blip r:embed="rId11"/>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UGCrusher-REF-001 — mixed lump/fines accumulation at the underground start of the inspected conveyor ecosystem.</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 name="Picture 2"/>
                  <wp:cNvGraphicFramePr>
                    <a:graphicFrameLocks noChangeAspect="1"/>
                  </wp:cNvGraphicFramePr>
                  <a:graphic>
                    <a:graphicData uri="http://schemas.openxmlformats.org/drawingml/2006/picture">
                      <pic:pic>
                        <pic:nvPicPr>
                          <pic:cNvPr id="0" name="UGUC05_04_03_02_01-REF-006.jpg"/>
                          <pic:cNvPicPr/>
                        </pic:nvPicPr>
                        <pic:blipFill>
                          <a:blip r:embed="rId12"/>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UGUC05_04_03_02_01-REF-006 — severe local accumulation along the continuous underground conveyor route.</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READER TAKEAWAY</w:t>
            </w:r>
          </w:p>
        </w:tc>
        <w:tc>
          <w:tcPr>
            <w:tcW w:type="dxa" w:w="4876"/>
            <w:shd w:fill="EEF3F8"/>
            <w:tcMar>
              <w:top w:w="80" w:type="dxa"/>
              <w:start w:w="100" w:type="dxa"/>
              <w:bottom w:w="80" w:type="dxa"/>
              <w:end w:w="100" w:type="dxa"/>
            </w:tcMar>
            <w:vAlign w:val="center"/>
          </w:tcPr>
          <w:p>
            <w:r/>
            <w:r>
              <w:rPr>
                <w:b w:val="0"/>
                <w:sz w:val="18"/>
              </w:rPr>
              <w:t>The audit concerns loss of control of the product/process stream during transit — not the mere presence of fines, lump ore or water within a material-handling plant.</w:t>
            </w:r>
          </w:p>
        </w:tc>
      </w:tr>
    </w:tbl>
    <w:p>
      <w:pPr>
        <w:pStyle w:val="Heading1"/>
        <w:keepNext/>
      </w:pPr>
      <w:r>
        <w:rPr>
          <w:rFonts w:ascii="Arial" w:hAnsi="Arial"/>
          <w:b/>
        </w:rPr>
        <w:t>6 Central Audit Principle — Spillage Location Is Not Always Cause Location</w:t>
      </w:r>
    </w:p>
    <w:p>
      <w:pPr>
        <w:pStyle w:val="BodyText"/>
        <w:keepLines w:val="0"/>
        <w:spacing w:after="80" w:line="252" w:lineRule="auto"/>
      </w:pPr>
      <w:r>
        <w:t>Visible spillage should not automatically be interpreted as a local equipment failure at the point where material is found. The deposit may be the final consequence of an upstream or functionally separate initiating condition. The investigation sequence is therefore: observed deposit → material type → immediate mechanism → contributing condition → initiating cause → consequence → control. Not every step can be proven at every location; unresolved root causes remain explicit verification items.</w:t>
      </w:r>
    </w:p>
    <w:p>
      <w:pPr>
        <w:pStyle w:val="BodyText"/>
        <w:spacing w:after="40"/>
      </w:pPr>
      <w:r>
        <w:t>1. Fines/carryback can remain on the return belt after intended discharge and detach progressively as the belt flexes over downstream rollers.</w:t>
      </w:r>
    </w:p>
    <w:p>
      <w:pPr>
        <w:pStyle w:val="BodyText"/>
        <w:spacing w:after="40"/>
      </w:pPr>
      <w:r>
        <w:t>2. Process or cleaning water can mobilise fines and transport contamination away from the original escape point.</w:t>
      </w:r>
    </w:p>
    <w:p>
      <w:pPr>
        <w:pStyle w:val="BodyText"/>
        <w:spacing w:after="40"/>
      </w:pPr>
      <w:r>
        <w:t>3. Belt mistracking can reduce usable carrying margin before coarse/mixed product is lost at a later location.</w:t>
      </w:r>
    </w:p>
    <w:p>
      <w:pPr>
        <w:pStyle w:val="BodyText"/>
        <w:spacing w:after="40"/>
      </w:pPr>
      <w:r>
        <w:t>4. Trip/restart clearing can place product beside a conveyor even when the initiating trip, blockage or intervention occurred elsewhere.</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CAUSE / EFFECT SEQUENCE</w:t>
            </w:r>
          </w:p>
        </w:tc>
        <w:tc>
          <w:tcPr>
            <w:tcW w:type="dxa" w:w="4876"/>
            <w:shd w:fill="EEF3F8"/>
            <w:tcMar>
              <w:top w:w="80" w:type="dxa"/>
              <w:start w:w="100" w:type="dxa"/>
              <w:bottom w:w="80" w:type="dxa"/>
              <w:end w:w="100" w:type="dxa"/>
            </w:tcMar>
            <w:vAlign w:val="center"/>
          </w:tcPr>
          <w:p>
            <w:pPr>
              <w:keepLines/>
            </w:pPr>
            <w:r/>
            <w:r>
              <w:rPr>
                <w:rFonts w:ascii="Arial" w:hAnsi="Arial"/>
                <w:b w:val="0"/>
                <w:color w:val="262626"/>
                <w:sz w:val="17"/>
              </w:rPr>
              <w:t>Observed deposit → material type → immediate mechanism → contributing condition → initiating cause → consequence → control</w:t>
            </w:r>
          </w:p>
        </w:tc>
      </w:tr>
    </w:tbl>
    <w:p>
      <w:pPr>
        <w:keepNext/>
        <w:jc w:val="center"/>
      </w:pPr>
      <w:r>
        <w:drawing>
          <wp:inline xmlns:a="http://schemas.openxmlformats.org/drawingml/2006/main" xmlns:pic="http://schemas.openxmlformats.org/drawingml/2006/picture">
            <wp:extent cx="5486400" cy="3882060"/>
            <wp:docPr id="50" name="Picture 50"/>
            <wp:cNvGraphicFramePr>
              <a:graphicFrameLocks noChangeAspect="1"/>
            </wp:cNvGraphicFramePr>
            <a:graphic>
              <a:graphicData uri="http://schemas.openxmlformats.org/drawingml/2006/picture">
                <pic:pic>
                  <pic:nvPicPr>
                    <pic:cNvPr id="0" name="cause_location_vs_deposit_location.png"/>
                    <pic:cNvPicPr/>
                  </pic:nvPicPr>
                  <pic:blipFill>
                    <a:blip r:embed="rId58"/>
                    <a:stretch>
                      <a:fillRect/>
                    </a:stretch>
                  </pic:blipFill>
                  <pic:spPr>
                    <a:xfrm>
                      <a:off x="0" y="0"/>
                      <a:ext cx="5486400" cy="3882060"/>
                    </a:xfrm>
                    <a:prstGeom prst="rect"/>
                  </pic:spPr>
                </pic:pic>
              </a:graphicData>
            </a:graphic>
          </wp:inline>
        </w:drawing>
      </w:r>
    </w:p>
    <w:p>
      <w:pPr>
        <w:pStyle w:val="Caption"/>
        <w:keepNext w:val="0"/>
        <w:keepLines/>
        <w:jc w:val="center"/>
      </w:pPr>
      <w:r>
        <w:t>CTD-004 — Cause Location vs Deposit Location. Conceptual explanatory figure; not inspection evidence.</w:t>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PART III — WHAT THE AUDIT FOUND</w:t>
            </w:r>
          </w:p>
        </w:tc>
      </w:tr>
    </w:tbl>
    <w:p>
      <w:pPr>
        <w:pStyle w:val="Heading1"/>
        <w:keepNext/>
      </w:pPr>
      <w:r>
        <w:rPr>
          <w:rFonts w:ascii="Arial" w:hAnsi="Arial"/>
          <w:b/>
        </w:rPr>
        <w:t>7 The Overall Spillage Picture</w:t>
      </w:r>
    </w:p>
    <w:p>
      <w:pPr>
        <w:pStyle w:val="BodyText"/>
        <w:keepLines w:val="0"/>
        <w:spacing w:after="80" w:line="252" w:lineRule="auto"/>
      </w:pPr>
      <w:r>
        <w:t>The controlled evidence resolves into three recurring material/process-loss families plus one event-driven operational mechanism: (1) fines/carryback, (2) coarse/mixed-product transit loss, (3) water-related escape / wet fines / slurry, and (4) trip/restart or manual product handling. The categories can interact at individual assets, but they do not justify one universal physical correction.</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3251"/>
        <w:gridCol w:w="3251"/>
        <w:gridCol w:w="3251"/>
      </w:tblGrid>
      <w:tr>
        <w:trPr>
          <w:cantSplit/>
          <w:cantSplit/>
        </w:trPr>
        <w:tc>
          <w:tcPr>
            <w:tcW w:type="dxa" w:w="2232"/>
            <w:shd w:fill="DCE6F1"/>
            <w:tcMar>
              <w:top w:w="70" w:type="dxa"/>
              <w:start w:w="80" w:type="dxa"/>
              <w:bottom w:w="70" w:type="dxa"/>
              <w:end w:w="80" w:type="dxa"/>
            </w:tcMar>
          </w:tcPr>
          <w:p>
            <w:pPr>
              <w:keepLines/>
            </w:pPr>
            <w:r/>
            <w:r>
              <w:rPr>
                <w:rFonts w:ascii="Arial" w:hAnsi="Arial"/>
                <w:b/>
                <w:color w:val="17365D"/>
                <w:sz w:val="15"/>
              </w:rPr>
              <w:t>Mechanism family</w:t>
            </w:r>
          </w:p>
        </w:tc>
        <w:tc>
          <w:tcPr>
            <w:tcW w:type="dxa" w:w="4536"/>
            <w:shd w:fill="DCE6F1"/>
            <w:tcMar>
              <w:top w:w="70" w:type="dxa"/>
              <w:start w:w="80" w:type="dxa"/>
              <w:bottom w:w="70" w:type="dxa"/>
              <w:end w:w="80" w:type="dxa"/>
            </w:tcMar>
          </w:tcPr>
          <w:p>
            <w:pPr>
              <w:keepLines/>
            </w:pPr>
            <w:r/>
            <w:r>
              <w:rPr>
                <w:rFonts w:ascii="Arial" w:hAnsi="Arial"/>
                <w:b/>
                <w:color w:val="17365D"/>
                <w:sz w:val="15"/>
              </w:rPr>
              <w:t>Typical evidence / significance</w:t>
            </w:r>
          </w:p>
        </w:tc>
        <w:tc>
          <w:tcPr>
            <w:tcW w:type="dxa" w:w="3456"/>
            <w:shd w:fill="DCE6F1"/>
            <w:tcMar>
              <w:top w:w="70" w:type="dxa"/>
              <w:start w:w="80" w:type="dxa"/>
              <w:bottom w:w="70" w:type="dxa"/>
              <w:end w:w="80" w:type="dxa"/>
            </w:tcMar>
          </w:tcPr>
          <w:p>
            <w:pPr>
              <w:keepLines/>
            </w:pPr>
            <w:r/>
            <w:r>
              <w:rPr>
                <w:rFonts w:ascii="Arial" w:hAnsi="Arial"/>
                <w:b/>
                <w:color w:val="17365D"/>
                <w:sz w:val="15"/>
              </w:rPr>
              <w:t>Control direction</w:t>
            </w:r>
          </w:p>
        </w:tc>
      </w:tr>
      <w:tr>
        <w:trPr>
          <w:cantSplit/>
          <w:cantSplit/>
        </w:trPr>
        <w:tc>
          <w:tcPr>
            <w:tcW w:type="dxa" w:w="2232"/>
            <w:tcMar>
              <w:top w:w="65" w:type="dxa"/>
              <w:start w:w="80" w:type="dxa"/>
              <w:bottom w:w="65" w:type="dxa"/>
              <w:end w:w="80" w:type="dxa"/>
            </w:tcMar>
          </w:tcPr>
          <w:p>
            <w:pPr>
              <w:keepLines/>
            </w:pPr>
            <w:r/>
            <w:r>
              <w:rPr>
                <w:rFonts w:ascii="Arial" w:hAnsi="Arial"/>
                <w:b w:val="0"/>
                <w:color w:val="262626"/>
                <w:sz w:val="14"/>
              </w:rPr>
              <w:t>Fines / carryback</w:t>
            </w:r>
          </w:p>
        </w:tc>
        <w:tc>
          <w:tcPr>
            <w:tcW w:type="dxa" w:w="4536"/>
            <w:tcMar>
              <w:top w:w="65" w:type="dxa"/>
              <w:start w:w="80" w:type="dxa"/>
              <w:bottom w:w="65" w:type="dxa"/>
              <w:end w:w="80" w:type="dxa"/>
            </w:tcMar>
          </w:tcPr>
          <w:p>
            <w:pPr>
              <w:keepLines/>
            </w:pPr>
            <w:r/>
            <w:r>
              <w:rPr>
                <w:rFonts w:ascii="Arial" w:hAnsi="Arial"/>
                <w:b w:val="0"/>
                <w:color w:val="262626"/>
                <w:sz w:val="14"/>
              </w:rPr>
              <w:t>Recurring deposits along return-side and downstream conveyor areas; cleaner condition and containment are recurring themes.</w:t>
            </w:r>
          </w:p>
        </w:tc>
        <w:tc>
          <w:tcPr>
            <w:tcW w:type="dxa" w:w="3456"/>
            <w:tcMar>
              <w:top w:w="65" w:type="dxa"/>
              <w:start w:w="80" w:type="dxa"/>
              <w:bottom w:w="65" w:type="dxa"/>
              <w:end w:w="80" w:type="dxa"/>
            </w:tcMar>
          </w:tcPr>
          <w:p>
            <w:pPr>
              <w:keepLines/>
            </w:pPr>
            <w:r/>
            <w:r>
              <w:rPr>
                <w:rFonts w:ascii="Arial" w:hAnsi="Arial"/>
                <w:b w:val="0"/>
                <w:color w:val="262626"/>
                <w:sz w:val="14"/>
              </w:rPr>
              <w:t>Improve cleaning function and retain removed fines inside the process.</w:t>
            </w:r>
          </w:p>
        </w:tc>
      </w:tr>
      <w:tr>
        <w:trPr>
          <w:cantSplit/>
          <w:cantSplit/>
        </w:trPr>
        <w:tc>
          <w:tcPr>
            <w:tcW w:type="dxa" w:w="2232"/>
            <w:tcMar>
              <w:top w:w="65" w:type="dxa"/>
              <w:start w:w="80" w:type="dxa"/>
              <w:bottom w:w="65" w:type="dxa"/>
              <w:end w:w="80" w:type="dxa"/>
            </w:tcMar>
          </w:tcPr>
          <w:p>
            <w:pPr>
              <w:keepLines/>
            </w:pPr>
            <w:r/>
            <w:r>
              <w:rPr>
                <w:rFonts w:ascii="Arial" w:hAnsi="Arial"/>
                <w:b w:val="0"/>
                <w:color w:val="262626"/>
                <w:sz w:val="14"/>
              </w:rPr>
              <w:t>Coarse / mixed product transit loss</w:t>
            </w:r>
          </w:p>
        </w:tc>
        <w:tc>
          <w:tcPr>
            <w:tcW w:type="dxa" w:w="4536"/>
            <w:tcMar>
              <w:top w:w="65" w:type="dxa"/>
              <w:start w:w="80" w:type="dxa"/>
              <w:bottom w:w="65" w:type="dxa"/>
              <w:end w:w="80" w:type="dxa"/>
            </w:tcMar>
          </w:tcPr>
          <w:p>
            <w:pPr>
              <w:keepLines/>
            </w:pPr>
            <w:r/>
            <w:r>
              <w:rPr>
                <w:rFonts w:ascii="Arial" w:hAnsi="Arial"/>
                <w:b w:val="0"/>
                <w:color w:val="262626"/>
                <w:sz w:val="14"/>
              </w:rPr>
              <w:t>Product outside the carrying envelope at W10, Sample Conveyors and other local positions.</w:t>
            </w:r>
          </w:p>
        </w:tc>
        <w:tc>
          <w:tcPr>
            <w:tcW w:type="dxa" w:w="3456"/>
            <w:tcMar>
              <w:top w:w="65" w:type="dxa"/>
              <w:start w:w="80" w:type="dxa"/>
              <w:bottom w:w="65" w:type="dxa"/>
              <w:end w:w="80" w:type="dxa"/>
            </w:tcMar>
          </w:tcPr>
          <w:p>
            <w:pPr>
              <w:keepLines/>
            </w:pPr>
            <w:r/>
            <w:r>
              <w:rPr>
                <w:rFonts w:ascii="Arial" w:hAnsi="Arial"/>
                <w:b w:val="0"/>
                <w:color w:val="262626"/>
                <w:sz w:val="14"/>
              </w:rPr>
              <w:t>Feed/trajectory, tracking and location-specific containment.</w:t>
            </w:r>
          </w:p>
        </w:tc>
      </w:tr>
      <w:tr>
        <w:trPr>
          <w:cantSplit/>
          <w:cantSplit/>
        </w:trPr>
        <w:tc>
          <w:tcPr>
            <w:tcW w:type="dxa" w:w="2232"/>
            <w:tcMar>
              <w:top w:w="65" w:type="dxa"/>
              <w:start w:w="80" w:type="dxa"/>
              <w:bottom w:w="65" w:type="dxa"/>
              <w:end w:w="80" w:type="dxa"/>
            </w:tcMar>
          </w:tcPr>
          <w:p>
            <w:pPr>
              <w:keepLines/>
            </w:pPr>
            <w:r/>
            <w:r>
              <w:rPr>
                <w:rFonts w:ascii="Arial" w:hAnsi="Arial"/>
                <w:b w:val="0"/>
                <w:color w:val="262626"/>
                <w:sz w:val="14"/>
              </w:rPr>
              <w:t>Water / wet fines / slurry</w:t>
            </w:r>
          </w:p>
        </w:tc>
        <w:tc>
          <w:tcPr>
            <w:tcW w:type="dxa" w:w="4536"/>
            <w:tcMar>
              <w:top w:w="65" w:type="dxa"/>
              <w:start w:w="80" w:type="dxa"/>
              <w:bottom w:w="65" w:type="dxa"/>
              <w:end w:w="80" w:type="dxa"/>
            </w:tcMar>
          </w:tcPr>
          <w:p>
            <w:pPr>
              <w:keepLines/>
            </w:pPr>
            <w:r/>
            <w:r>
              <w:rPr>
                <w:rFonts w:ascii="Arial" w:hAnsi="Arial"/>
                <w:b w:val="0"/>
                <w:color w:val="262626"/>
                <w:sz w:val="14"/>
              </w:rPr>
              <w:t>Wet deposits and confirmed active screen water escape.</w:t>
            </w:r>
          </w:p>
        </w:tc>
        <w:tc>
          <w:tcPr>
            <w:tcW w:type="dxa" w:w="3456"/>
            <w:tcMar>
              <w:top w:w="65" w:type="dxa"/>
              <w:start w:w="80" w:type="dxa"/>
              <w:bottom w:w="65" w:type="dxa"/>
              <w:end w:w="80" w:type="dxa"/>
            </w:tcMar>
          </w:tcPr>
          <w:p>
            <w:pPr>
              <w:keepLines/>
            </w:pPr>
            <w:r/>
            <w:r>
              <w:rPr>
                <w:rFonts w:ascii="Arial" w:hAnsi="Arial"/>
                <w:b w:val="0"/>
                <w:color w:val="262626"/>
                <w:sz w:val="14"/>
              </w:rPr>
              <w:t>Retain process water; identify local escape mechanism; manage secondary structural consequences.</w:t>
            </w:r>
          </w:p>
        </w:tc>
      </w:tr>
      <w:tr>
        <w:trPr>
          <w:cantSplit/>
          <w:cantSplit/>
        </w:trPr>
        <w:tc>
          <w:tcPr>
            <w:tcW w:type="dxa" w:w="2232"/>
            <w:tcMar>
              <w:top w:w="65" w:type="dxa"/>
              <w:start w:w="80" w:type="dxa"/>
              <w:bottom w:w="65" w:type="dxa"/>
              <w:end w:w="80" w:type="dxa"/>
            </w:tcMar>
          </w:tcPr>
          <w:p>
            <w:pPr>
              <w:keepLines/>
            </w:pPr>
            <w:r/>
            <w:r>
              <w:rPr>
                <w:rFonts w:ascii="Arial" w:hAnsi="Arial"/>
                <w:b w:val="0"/>
                <w:color w:val="262626"/>
                <w:sz w:val="14"/>
              </w:rPr>
              <w:t>Trip / restart unloading</w:t>
            </w:r>
          </w:p>
        </w:tc>
        <w:tc>
          <w:tcPr>
            <w:tcW w:type="dxa" w:w="4536"/>
            <w:tcMar>
              <w:top w:w="65" w:type="dxa"/>
              <w:start w:w="80" w:type="dxa"/>
              <w:bottom w:w="65" w:type="dxa"/>
              <w:end w:w="80" w:type="dxa"/>
            </w:tcMar>
          </w:tcPr>
          <w:p>
            <w:pPr>
              <w:keepLines/>
            </w:pPr>
            <w:r/>
            <w:r>
              <w:rPr>
                <w:rFonts w:ascii="Arial" w:hAnsi="Arial"/>
                <w:b w:val="0"/>
                <w:color w:val="262626"/>
                <w:sz w:val="14"/>
              </w:rPr>
              <w:t>Source-recorded manual clearing after trips/blockages.</w:t>
            </w:r>
          </w:p>
        </w:tc>
        <w:tc>
          <w:tcPr>
            <w:tcW w:type="dxa" w:w="3456"/>
            <w:tcMar>
              <w:top w:w="65" w:type="dxa"/>
              <w:start w:w="80" w:type="dxa"/>
              <w:bottom w:w="65" w:type="dxa"/>
              <w:end w:w="80" w:type="dxa"/>
            </w:tcMar>
          </w:tcPr>
          <w:p>
            <w:pPr>
              <w:keepLines/>
            </w:pPr>
            <w:r/>
            <w:r>
              <w:rPr>
                <w:rFonts w:ascii="Arial" w:hAnsi="Arial"/>
                <w:b w:val="0"/>
                <w:color w:val="262626"/>
                <w:sz w:val="14"/>
              </w:rPr>
              <w:t>Defined temporary laydown, recovery and restart procedure.</w:t>
            </w:r>
          </w:p>
        </w:tc>
      </w:tr>
    </w:tbl>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3" name="Picture 3"/>
                  <wp:cNvGraphicFramePr>
                    <a:graphicFrameLocks noChangeAspect="1"/>
                  </wp:cNvGraphicFramePr>
                  <a:graphic>
                    <a:graphicData uri="http://schemas.openxmlformats.org/drawingml/2006/picture">
                      <pic:pic>
                        <pic:nvPicPr>
                          <pic:cNvPr id="0" name="W10-REF-002.jpg"/>
                          <pic:cNvPicPr/>
                        </pic:nvPicPr>
                        <pic:blipFill>
                          <a:blip r:embed="rId13"/>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W10-REF-002 — coarse/mixed product occupying restricted tunnel access.</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4" name="Picture 4"/>
                  <wp:cNvGraphicFramePr>
                    <a:graphicFrameLocks noChangeAspect="1"/>
                  </wp:cNvGraphicFramePr>
                  <a:graphic>
                    <a:graphicData uri="http://schemas.openxmlformats.org/drawingml/2006/picture">
                      <pic:pic>
                        <pic:nvPicPr>
                          <pic:cNvPr id="0" name="CV04-REF-002.jpg"/>
                          <pic:cNvPicPr/>
                        </pic:nvPicPr>
                        <pic:blipFill>
                          <a:blip r:embed="rId14"/>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CV04-REF-002 — saturated wet-fines/slurry condition.</w:t>
            </w:r>
          </w:p>
        </w:tc>
      </w:tr>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5" name="Picture 5"/>
                  <wp:cNvGraphicFramePr>
                    <a:graphicFrameLocks noChangeAspect="1"/>
                  </wp:cNvGraphicFramePr>
                  <a:graphic>
                    <a:graphicData uri="http://schemas.openxmlformats.org/drawingml/2006/picture">
                      <pic:pic>
                        <pic:nvPicPr>
                          <pic:cNvPr id="0" name="CV03-REF-002.jpg"/>
                          <pic:cNvPicPr/>
                        </pic:nvPicPr>
                        <pic:blipFill>
                          <a:blip r:embed="rId15"/>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CV03-REF-002 — clean-condition comparator demonstrating that not every inspected conveyor was a significant spillage location.</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6" name="Picture 6"/>
                  <wp:cNvGraphicFramePr>
                    <a:graphicFrameLocks noChangeAspect="1"/>
                  </wp:cNvGraphicFramePr>
                  <a:graphic>
                    <a:graphicData uri="http://schemas.openxmlformats.org/drawingml/2006/picture">
                      <pic:pic>
                        <pic:nvPicPr>
                          <pic:cNvPr id="0" name="UG5B-REF-006.jpg"/>
                          <pic:cNvPicPr/>
                        </pic:nvPicPr>
                        <pic:blipFill>
                          <a:blip r:embed="rId16"/>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UG5B-REF-006 — wider comparator supporting a localised rather than uniformly widespread U5B condition.</w:t>
            </w:r>
          </w:p>
        </w:tc>
      </w:tr>
    </w:tbl>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PART IV — FINES, CARRYBACK AND CLEANER CONTAINMENT</w:t>
            </w:r>
          </w:p>
        </w:tc>
      </w:tr>
    </w:tbl>
    <w:p>
      <w:pPr>
        <w:pStyle w:val="Heading1"/>
        <w:keepNext/>
      </w:pPr>
      <w:r>
        <w:rPr>
          <w:rFonts w:ascii="Arial" w:hAnsi="Arial"/>
          <w:b/>
        </w:rPr>
        <w:t>8 Fines Are Being Lost Progressively Through the Conveyor Ecosystem</w:t>
      </w:r>
    </w:p>
    <w:p>
      <w:pPr>
        <w:pStyle w:val="BodyText"/>
        <w:keepLines w:val="0"/>
        <w:spacing w:after="80" w:line="252" w:lineRule="auto"/>
      </w:pPr>
      <w:r>
        <w:t>Recurring fines accumulation is present across multiple underground and surface conveyor areas. The evidence supports carryback as a major cross-system mechanism, particularly where fines occur along return-belt/support-roller paths and downstream of discharge locations. The photographs prove the physical consequence; they do not prove that every individual deposit originated solely from carryback.</w:t>
      </w:r>
    </w:p>
    <w:p>
      <w:pPr>
        <w:pStyle w:val="BodyText"/>
        <w:keepLines w:val="0"/>
        <w:spacing w:after="80" w:line="252" w:lineRule="auto"/>
      </w:pPr>
      <w:r>
        <w:t>The cross-system recurrence is nevertheless significant because the visible deposit can be downstream of the initiating cleaner/discharge opportunity. Residual material can progressively detach through belt flexing, return rollers, vibration and gravity. Wet/sticky material conditions can increase adhesion and therefore increase the cleaning/containment duty, but a common water source is not inferred across all locations.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7" name="Picture 7"/>
                  <wp:cNvGraphicFramePr>
                    <a:graphicFrameLocks noChangeAspect="1"/>
                  </wp:cNvGraphicFramePr>
                  <a:graphic>
                    <a:graphicData uri="http://schemas.openxmlformats.org/drawingml/2006/picture">
                      <pic:pic>
                        <pic:nvPicPr>
                          <pic:cNvPr id="0" name="UGUC05_04_03_02_01-REF-015.jpg"/>
                          <pic:cNvPicPr/>
                        </pic:nvPicPr>
                        <pic:blipFill>
                          <a:blip r:embed="rId17"/>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UGUC05_04_03_02_01-REF-015 — wider longitudinal accumulation supporting recurrence along the underground route.</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8" name="Picture 8"/>
                  <wp:cNvGraphicFramePr>
                    <a:graphicFrameLocks noChangeAspect="1"/>
                  </wp:cNvGraphicFramePr>
                  <a:graphic>
                    <a:graphicData uri="http://schemas.openxmlformats.org/drawingml/2006/picture">
                      <pic:pic>
                        <pic:nvPicPr>
                          <pic:cNvPr id="0" name="UG5A-REF-006.jpg"/>
                          <pic:cNvPicPr/>
                        </pic:nvPicPr>
                        <pic:blipFill>
                          <a:blip r:embed="rId18"/>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UG5A-REF-006 — widespread return-side accumulation at U5A.</w:t>
            </w:r>
          </w:p>
        </w:tc>
      </w:tr>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6367569"/>
                  <wp:docPr id="9" name="Picture 9"/>
                  <wp:cNvGraphicFramePr>
                    <a:graphicFrameLocks noChangeAspect="1"/>
                  </wp:cNvGraphicFramePr>
                  <a:graphic>
                    <a:graphicData uri="http://schemas.openxmlformats.org/drawingml/2006/picture">
                      <pic:pic>
                        <pic:nvPicPr>
                          <pic:cNvPr id="0" name="CV15-REF-004.jpg"/>
                          <pic:cNvPicPr/>
                        </pic:nvPicPr>
                        <pic:blipFill>
                          <a:blip r:embed="rId19"/>
                          <a:stretch>
                            <a:fillRect/>
                          </a:stretch>
                        </pic:blipFill>
                        <pic:spPr>
                          <a:xfrm>
                            <a:off x="0" y="0"/>
                            <a:ext cx="3017520" cy="6367569"/>
                          </a:xfrm>
                          <a:prstGeom prst="rect"/>
                        </pic:spPr>
                      </pic:pic>
                    </a:graphicData>
                  </a:graphic>
                </wp:inline>
              </w:drawing>
            </w:r>
          </w:p>
          <w:p>
            <w:pPr>
              <w:keepLines/>
              <w:spacing w:after="0"/>
              <w:jc w:val="center"/>
            </w:pPr>
            <w:r>
              <w:rPr>
                <w:rFonts w:ascii="Arial" w:hAnsi="Arial"/>
                <w:b/>
                <w:color w:val="404040"/>
                <w:sz w:val="15"/>
              </w:rPr>
              <w:t>CV15-REF-004 — large fines deposits on grating/cross-bracing around the CV15 discharge region.</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6367569"/>
                  <wp:docPr id="10" name="Picture 10"/>
                  <wp:cNvGraphicFramePr>
                    <a:graphicFrameLocks noChangeAspect="1"/>
                  </wp:cNvGraphicFramePr>
                  <a:graphic>
                    <a:graphicData uri="http://schemas.openxmlformats.org/drawingml/2006/picture">
                      <pic:pic>
                        <pic:nvPicPr>
                          <pic:cNvPr id="0" name="LoadoutStationSample1-REF-002.jpg"/>
                          <pic:cNvPicPr/>
                        </pic:nvPicPr>
                        <pic:blipFill>
                          <a:blip r:embed="rId20"/>
                          <a:stretch>
                            <a:fillRect/>
                          </a:stretch>
                        </pic:blipFill>
                        <pic:spPr>
                          <a:xfrm>
                            <a:off x="0" y="0"/>
                            <a:ext cx="3017520" cy="6367569"/>
                          </a:xfrm>
                          <a:prstGeom prst="rect"/>
                        </pic:spPr>
                      </pic:pic>
                    </a:graphicData>
                  </a:graphic>
                </wp:inline>
              </w:drawing>
            </w:r>
          </w:p>
          <w:p>
            <w:pPr>
              <w:keepLines/>
              <w:spacing w:after="0"/>
              <w:jc w:val="center"/>
            </w:pPr>
            <w:r>
              <w:rPr>
                <w:rFonts w:ascii="Arial" w:hAnsi="Arial"/>
                <w:b/>
                <w:color w:val="404040"/>
                <w:sz w:val="15"/>
              </w:rPr>
              <w:t>LoadoutStationSample1-REF-002 — substantial fines accumulation around the Sample Conveyor 1 tail/access area.</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SYSTEM PATTERN</w:t>
            </w:r>
          </w:p>
        </w:tc>
        <w:tc>
          <w:tcPr>
            <w:tcW w:type="dxa" w:w="4876"/>
            <w:shd w:fill="EEF3F8"/>
            <w:tcMar>
              <w:top w:w="80" w:type="dxa"/>
              <w:start w:w="100" w:type="dxa"/>
              <w:bottom w:w="80" w:type="dxa"/>
              <w:end w:w="100" w:type="dxa"/>
            </w:tcMar>
            <w:vAlign w:val="center"/>
          </w:tcPr>
          <w:p>
            <w:r/>
            <w:r>
              <w:rPr>
                <w:b w:val="0"/>
                <w:sz w:val="18"/>
              </w:rPr>
              <w:t>Recurring fines accumulation is a system-level material-control issue. The evidence supports carryback as a major recurring mechanism, but individual deposits remain qualified according to what the specific evidence can prove.</w:t>
            </w:r>
          </w:p>
        </w:tc>
      </w:tr>
    </w:tbl>
    <w:p>
      <w:pPr>
        <w:pStyle w:val="Heading1"/>
        <w:keepNext/>
      </w:pPr>
      <w:r>
        <w:rPr>
          <w:rFonts w:ascii="Arial" w:hAnsi="Arial"/>
          <w:b/>
        </w:rPr>
        <w:t>9 Why Belt Cleaning Alone Is Not the Full Control Function</w:t>
      </w:r>
    </w:p>
    <w:p>
      <w:pPr>
        <w:pStyle w:val="BodyText"/>
        <w:keepLines w:val="0"/>
        <w:spacing w:after="80" w:line="252" w:lineRule="auto"/>
      </w:pPr>
      <w:r>
        <w:t>A belt-cleaning system succeeds only when two linked functions are achieved: residual material is removed effectively from the return belt, and the removed material remains within the intended discharge/process path. Failure of either function can sustain spillage. CV06 and CV09 demonstrate complementary failure modes.</w:t>
      </w:r>
    </w:p>
    <w:p>
      <w:pPr>
        <w:pStyle w:val="Heading2"/>
        <w:keepNext/>
      </w:pPr>
      <w:r>
        <w:rPr>
          <w:rFonts w:ascii="Arial" w:hAnsi="Arial"/>
          <w:b/>
        </w:rPr>
        <w:t>9.1 CV06 — Mechanical / Maintenance Failure Example</w:t>
      </w:r>
    </w:p>
    <w:p>
      <w:pPr>
        <w:pStyle w:val="BodyText"/>
        <w:keepLines w:val="0"/>
        <w:spacing w:after="80" w:line="252" w:lineRule="auto"/>
      </w:pPr>
      <w:r>
        <w:t>At CV06 the cleaner function is materially compromised by the directly visible physical condition: the support bush/insert is displaced and scraper blade elements are absent from the working belt width. The photographs do not establish why the bush displaced, why or when blades were lost, or whether the underlying issue is design, maintenance, wear or a combination. The immediate requirement is therefore restoration and verification before broader redesign is considered.</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6382533"/>
                  <wp:docPr id="11" name="Picture 11"/>
                  <wp:cNvGraphicFramePr>
                    <a:graphicFrameLocks noChangeAspect="1"/>
                  </wp:cNvGraphicFramePr>
                  <a:graphic>
                    <a:graphicData uri="http://schemas.openxmlformats.org/drawingml/2006/picture">
                      <pic:pic>
                        <pic:nvPicPr>
                          <pic:cNvPr id="0" name="CV06-REF-004.jpg"/>
                          <pic:cNvPicPr/>
                        </pic:nvPicPr>
                        <pic:blipFill>
                          <a:blip r:embed="rId21"/>
                          <a:stretch>
                            <a:fillRect/>
                          </a:stretch>
                        </pic:blipFill>
                        <pic:spPr>
                          <a:xfrm>
                            <a:off x="0" y="0"/>
                            <a:ext cx="3017520" cy="6382533"/>
                          </a:xfrm>
                          <a:prstGeom prst="rect"/>
                        </pic:spPr>
                      </pic:pic>
                    </a:graphicData>
                  </a:graphic>
                </wp:inline>
              </w:drawing>
            </w:r>
          </w:p>
          <w:p>
            <w:pPr>
              <w:keepLines/>
              <w:spacing w:after="0"/>
              <w:jc w:val="center"/>
            </w:pPr>
            <w:r>
              <w:rPr>
                <w:rFonts w:ascii="Arial" w:hAnsi="Arial"/>
                <w:b/>
                <w:color w:val="404040"/>
                <w:sz w:val="15"/>
              </w:rPr>
              <w:t>CV06-REF-004 — displaced cleaner support bush/insert.</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12" name="Picture 12"/>
                  <wp:cNvGraphicFramePr>
                    <a:graphicFrameLocks noChangeAspect="1"/>
                  </wp:cNvGraphicFramePr>
                  <a:graphic>
                    <a:graphicData uri="http://schemas.openxmlformats.org/drawingml/2006/picture">
                      <pic:pic>
                        <pic:nvPicPr>
                          <pic:cNvPr id="0" name="CV06-REF-005.jpg"/>
                          <pic:cNvPicPr/>
                        </pic:nvPicPr>
                        <pic:blipFill>
                          <a:blip r:embed="rId22"/>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CV06-REF-005 — cleaner support structure present with scraper blades absent from the working belt width.</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Physical cleaner defects are directly visible at CV06.</w:t>
            </w:r>
          </w:p>
        </w:tc>
      </w:tr>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The cleaner is non-functional as intended. The photographs do not establish why the bush displaced or why/when the blades were lost; those remain maintenance/design-history questions.</w:t>
            </w:r>
          </w:p>
        </w:tc>
      </w:tr>
      <w:tr>
        <w:trPr>
          <w:cantSplit/>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Restore a functional cleaner arrangement and verify the support/housing condition, blade installation, belt contact and maintainability before returning the cleaner to service.</w:t>
            </w:r>
          </w:p>
        </w:tc>
      </w:tr>
    </w:tbl>
    <w:p>
      <w:pPr>
        <w:pStyle w:val="Heading2"/>
        <w:keepNext/>
      </w:pPr>
      <w:r>
        <w:rPr>
          <w:rFonts w:ascii="Arial" w:hAnsi="Arial"/>
          <w:b/>
        </w:rPr>
        <w:t>9.2 CV09 — Cleaner Removes Material, But Containment Still Fails</w:t>
      </w:r>
    </w:p>
    <w:p>
      <w:pPr>
        <w:pStyle w:val="BodyText"/>
        <w:keepLines w:val="0"/>
        <w:spacing w:after="80" w:line="252" w:lineRule="auto"/>
      </w:pPr>
      <w:r>
        <w:t>CV09 demonstrates a different failure mode. Wet residual material is removed in the cleaner/discharge region, but the local arrangement does not adequately retain the removed material within the intended process/fines-discharge envelope. Active wet-material fallout was recorded during operation. The available evidence supports the cleaner/containment interface as the key pilot problem, but it does not define final cleaner type, cleaner stages, contact pressure, travel, support or chute geometry.</w:t>
      </w:r>
    </w:p>
    <w:p>
      <w:pPr>
        <w:pStyle w:val="BodyText"/>
        <w:keepLines w:val="0"/>
        <w:spacing w:after="80" w:line="252" w:lineRule="auto"/>
      </w:pPr>
      <w:r>
        <w:t>This distinction matters because removing material from the belt is not sufficient if that material is then allowed to leave the process. At CV09 the cleaner and the local containment envelope should therefore be treated as one functional system. The pilot should establish the as-found baseline, verify geometry and access, route removed fines back into the intended process stream, and prove performance under representative wet/sticky service.</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13" name="Picture 13"/>
                  <wp:cNvGraphicFramePr>
                    <a:graphicFrameLocks noChangeAspect="1"/>
                  </wp:cNvGraphicFramePr>
                  <a:graphic>
                    <a:graphicData uri="http://schemas.openxmlformats.org/drawingml/2006/picture">
                      <pic:pic>
                        <pic:nvPicPr>
                          <pic:cNvPr id="0" name="CV09-REF-003.jpg"/>
                          <pic:cNvPicPr/>
                        </pic:nvPicPr>
                        <pic:blipFill>
                          <a:blip r:embed="rId23"/>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CV09-REF-003 — principal still showing the cleaner/open local arrangement.</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14" name="Picture 14"/>
                  <wp:cNvGraphicFramePr>
                    <a:graphicFrameLocks noChangeAspect="1"/>
                  </wp:cNvGraphicFramePr>
                  <a:graphic>
                    <a:graphicData uri="http://schemas.openxmlformats.org/drawingml/2006/picture">
                      <pic:pic>
                        <pic:nvPicPr>
                          <pic:cNvPr id="0" name="CV09-REF-002.jpg"/>
                          <pic:cNvPicPr/>
                        </pic:nvPicPr>
                        <pic:blipFill>
                          <a:blip r:embed="rId24"/>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CV09-REF-002 — wet-fines/slurry consequence below the discharge/cleaner region.</w:t>
            </w:r>
          </w:p>
        </w:tc>
      </w:tr>
    </w:tbl>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3017520"/>
                  <wp:docPr id="15" name="Picture 15"/>
                  <wp:cNvGraphicFramePr>
                    <a:graphicFrameLocks noChangeAspect="1"/>
                  </wp:cNvGraphicFramePr>
                  <a:graphic>
                    <a:graphicData uri="http://schemas.openxmlformats.org/drawingml/2006/picture">
                      <pic:pic>
                        <pic:nvPicPr>
                          <pic:cNvPr id="0" name="CV09-REF-006_frame.jpg"/>
                          <pic:cNvPicPr/>
                        </pic:nvPicPr>
                        <pic:blipFill>
                          <a:blip r:embed="rId25"/>
                          <a:stretch>
                            <a:fillRect/>
                          </a:stretch>
                        </pic:blipFill>
                        <pic:spPr>
                          <a:xfrm>
                            <a:off x="0" y="0"/>
                            <a:ext cx="3017520" cy="3017520"/>
                          </a:xfrm>
                          <a:prstGeom prst="rect"/>
                        </pic:spPr>
                      </pic:pic>
                    </a:graphicData>
                  </a:graphic>
                </wp:inline>
              </w:drawing>
            </w:r>
          </w:p>
          <w:p>
            <w:pPr>
              <w:keepLines/>
              <w:spacing w:after="0"/>
              <w:jc w:val="center"/>
            </w:pPr>
            <w:r>
              <w:rPr>
                <w:rFonts w:ascii="Arial" w:hAnsi="Arial"/>
                <w:b/>
                <w:color w:val="404040"/>
                <w:sz w:val="15"/>
              </w:rPr>
              <w:t>CV09-REF-006 — representative frame from inspection video showing active wet-material fallout during operation.</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3017520"/>
                  <wp:docPr id="16" name="Picture 16"/>
                  <wp:cNvGraphicFramePr>
                    <a:graphicFrameLocks noChangeAspect="1"/>
                  </wp:cNvGraphicFramePr>
                  <a:graphic>
                    <a:graphicData uri="http://schemas.openxmlformats.org/drawingml/2006/picture">
                      <pic:pic>
                        <pic:nvPicPr>
                          <pic:cNvPr id="0" name="CV09-REF-008_frame.jpg"/>
                          <pic:cNvPicPr/>
                        </pic:nvPicPr>
                        <pic:blipFill>
                          <a:blip r:embed="rId26"/>
                          <a:stretch>
                            <a:fillRect/>
                          </a:stretch>
                        </pic:blipFill>
                        <pic:spPr>
                          <a:xfrm>
                            <a:off x="0" y="0"/>
                            <a:ext cx="3017520" cy="3017520"/>
                          </a:xfrm>
                          <a:prstGeom prst="rect"/>
                        </pic:spPr>
                      </pic:pic>
                    </a:graphicData>
                  </a:graphic>
                </wp:inline>
              </w:drawing>
            </w:r>
          </w:p>
          <w:p>
            <w:pPr>
              <w:keepLines/>
              <w:spacing w:after="0"/>
              <w:jc w:val="center"/>
            </w:pPr>
            <w:r>
              <w:rPr>
                <w:rFonts w:ascii="Arial" w:hAnsi="Arial"/>
                <w:b/>
                <w:color w:val="404040"/>
                <w:sz w:val="15"/>
              </w:rPr>
              <w:t>CV09-REF-008 — representative frame from inspection video showing contaminated cleaner/chute geometry relevant to the containment-boundary issue and pilot concept.</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Wet fines/slurry are present below CV09 and active wet-material fallout was recorded during operation.</w:t>
            </w:r>
          </w:p>
        </w:tc>
      </w:tr>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The cleaner removes material from the belt, but the local arrangement does not adequately retain that removed material within the intended downstream process/fines-handling route. Final cleaner type, contact pressure, chute dimensions, supports and access geometry are not defined by the present evidence.</w:t>
            </w:r>
          </w:p>
        </w:tc>
      </w:tr>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CONTROL PHILOSOPHY</w:t>
            </w:r>
          </w:p>
        </w:tc>
        <w:tc>
          <w:tcPr>
            <w:tcW w:type="dxa" w:w="8208"/>
            <w:shd w:fill="EEF3F8"/>
            <w:tcMar>
              <w:top w:w="75" w:type="dxa"/>
              <w:start w:w="90" w:type="dxa"/>
              <w:bottom w:w="75" w:type="dxa"/>
              <w:end w:w="90" w:type="dxa"/>
            </w:tcMar>
            <w:vAlign w:val="top"/>
          </w:tcPr>
          <w:p>
            <w:pPr>
              <w:keepLines/>
            </w:pPr>
            <w:r/>
            <w:r>
              <w:rPr>
                <w:rFonts w:ascii="Arial" w:hAnsi="Arial"/>
                <w:b w:val="0"/>
                <w:color w:val="262626"/>
                <w:sz w:val="17"/>
              </w:rPr>
              <w:t>Do not merely clean the belt. Keep the fines inside the process.</w:t>
            </w:r>
          </w:p>
        </w:tc>
      </w:tr>
      <w:tr>
        <w:trPr>
          <w:cantSplit/>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Develop and trial a CV09 cleaner/containment arrangement after verifying belt/discharge geometry, containment envelope, mounting, wear compensation, access, maintainability, safety and the downstream fines route.</w:t>
            </w:r>
          </w:p>
        </w:tc>
      </w:tr>
    </w:tbl>
    <w:p>
      <w:pPr>
        <w:pStyle w:val="Heading2"/>
        <w:keepNext/>
      </w:pPr>
      <w:r>
        <w:rPr>
          <w:rFonts w:ascii="Arial" w:hAnsi="Arial"/>
          <w:b/>
        </w:rPr>
        <w:t>9.3 What CV09 Means Beyond CV09</w:t>
      </w:r>
    </w:p>
    <w:p>
      <w:pPr>
        <w:pStyle w:val="BodyText"/>
        <w:keepLines w:val="0"/>
        <w:spacing w:after="80" w:line="252" w:lineRule="auto"/>
      </w:pPr>
      <w:r>
        <w:t>CV06 and CV09 should not be treated as duplicate scraper findings. CV06 demonstrates loss of the cleaning function through a compromised/incomplete cleaner arrangement; CV09 demonstrates incomplete control of the material after cleaning. Together with the wider fines evidence, they justify standardising the required cleaner-and-containment function while adapting hardware to the local geometry and service.</w:t>
      </w:r>
    </w:p>
    <w:p>
      <w:pPr>
        <w:pStyle w:val="Heading1"/>
        <w:keepNext/>
      </w:pPr>
      <w:r>
        <w:t>10 Cleaner / Fines-Control Philosophy and CV09 Pilot</w:t>
      </w:r>
    </w:p>
    <w:p>
      <w:pPr>
        <w:pStyle w:val="BodyText"/>
        <w:keepLines w:val="0"/>
        <w:spacing w:after="80" w:line="252" w:lineRule="auto"/>
      </w:pPr>
      <w:r>
        <w:t>CV09 is the preferred pilot because the evidence connects wet/sticky fines service, cleaner/discharge geometry, active fallout and an identifiable intended process route. The required functional philosophy is: remove residual fines effectively, maintain the cleaning function through normal wear/adjustment, and keep the removed material within the intended process stream.</w:t>
      </w:r>
    </w:p>
    <w:p>
      <w:pPr>
        <w:pStyle w:val="ListBullet"/>
        <w:spacing w:after="30"/>
      </w:pPr>
      <w:r>
        <w:t>Verify and maintain effective cleaner-to-belt contact through the agreed operating/wear range.</w:t>
      </w:r>
    </w:p>
    <w:p>
      <w:pPr>
        <w:pStyle w:val="ListBullet"/>
        <w:spacing w:after="30"/>
      </w:pPr>
      <w:r>
        <w:t>Evaluate appropriate self-tensioning/wear-compensation and positive travel-limitation principles from verified site geometry.</w:t>
      </w:r>
    </w:p>
    <w:p>
      <w:pPr>
        <w:pStyle w:val="ListBullet"/>
        <w:spacing w:after="30"/>
      </w:pPr>
      <w:r>
        <w:t>Provide a controlled route for cleaner-removed wet fines back into the intended chute/process stream.</w:t>
      </w:r>
    </w:p>
    <w:p>
      <w:pPr>
        <w:pStyle w:val="ListBullet"/>
        <w:spacing w:after="30"/>
      </w:pPr>
      <w:r>
        <w:t>Position the cleaning function within an effective local containment envelope so removed fines do not become plant-area spillage.</w:t>
      </w:r>
    </w:p>
    <w:p>
      <w:pPr>
        <w:pStyle w:val="ListBullet"/>
        <w:spacing w:after="30"/>
      </w:pPr>
      <w:r>
        <w:t>Retain safe inspection, adjustment, blade replacement, guarding and clean-out access.</w:t>
      </w:r>
    </w:p>
    <w:p>
      <w:pPr>
        <w:pStyle w:val="ListBullet"/>
        <w:spacing w:after="30"/>
      </w:pPr>
      <w:r>
        <w:t>Consider primary/secondary cleaning stages only where justified by the verified wet/sticky duty and available installation envelope.</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STANDARDISE THE FUNCTION</w:t>
            </w:r>
          </w:p>
        </w:tc>
        <w:tc>
          <w:tcPr>
            <w:tcW w:type="dxa" w:w="4876"/>
            <w:shd w:fill="EEF3F8"/>
            <w:tcMar>
              <w:top w:w="80" w:type="dxa"/>
              <w:start w:w="100" w:type="dxa"/>
              <w:bottom w:w="80" w:type="dxa"/>
              <w:end w:w="100" w:type="dxa"/>
            </w:tcMar>
            <w:vAlign w:val="center"/>
          </w:tcPr>
          <w:p>
            <w:r/>
            <w:r>
              <w:rPr>
                <w:b w:val="0"/>
                <w:sz w:val="18"/>
              </w:rPr>
              <w:t>This is not a recommendation to install one identical scraper at every conveyor. Prove the required cleaner/containment function at CV09, then assess each applicable location for its own mechanism, belt/material condition, chute geometry, maintenance access and safe installation envelope. U4 remains a geometry-specific exception.</w:t>
            </w:r>
          </w:p>
        </w:tc>
      </w:tr>
    </w:tbl>
    <w:p>
      <w:pPr>
        <w:pStyle w:val="BodyText"/>
      </w:pPr>
      <w:r>
        <w:t>Pilot success is functional rather than cosmetic: downstream carryback should be materially reduced relative to the pre-trial condition; removed wet fines should remain in the process; cleaner contact should remain stable through the agreed wear condition; no unacceptable belt/cleaner wear, guarding/trapping conflict or maintenance-access problem should be introduced; and the monitoring record should be sufficient for a defensible wider-applicability decision.</w:t>
      </w:r>
    </w:p>
    <w:p>
      <w:pPr>
        <w:keepNext/>
        <w:jc w:val="center"/>
      </w:pPr>
      <w:r>
        <w:drawing>
          <wp:inline xmlns:a="http://schemas.openxmlformats.org/drawingml/2006/main" xmlns:pic="http://schemas.openxmlformats.org/drawingml/2006/picture">
            <wp:extent cx="5486400" cy="3882060"/>
            <wp:docPr id="51" name="Picture 51"/>
            <wp:cNvGraphicFramePr>
              <a:graphicFrameLocks noChangeAspect="1"/>
            </wp:cNvGraphicFramePr>
            <a:graphic>
              <a:graphicData uri="http://schemas.openxmlformats.org/drawingml/2006/picture">
                <pic:pic>
                  <pic:nvPicPr>
                    <pic:cNvPr id="0" name="cv09_cleaner_and_process_containment_concept.png"/>
                    <pic:cNvPicPr/>
                  </pic:nvPicPr>
                  <pic:blipFill>
                    <a:blip r:embed="rId59"/>
                    <a:stretch>
                      <a:fillRect/>
                    </a:stretch>
                  </pic:blipFill>
                  <pic:spPr>
                    <a:xfrm>
                      <a:off x="0" y="0"/>
                      <a:ext cx="5486400" cy="3882060"/>
                    </a:xfrm>
                    <a:prstGeom prst="rect"/>
                  </pic:spPr>
                </pic:pic>
              </a:graphicData>
            </a:graphic>
          </wp:inline>
        </w:drawing>
      </w:r>
    </w:p>
    <w:p>
      <w:pPr>
        <w:pStyle w:val="Caption"/>
        <w:keepNext w:val="0"/>
        <w:keepLines/>
        <w:jc w:val="center"/>
      </w:pPr>
      <w:r>
        <w:t>CTD-001 — CV09 Cleaner and Process-Containment Concept. Conceptual only; not for fabrication; dimensions to be verified on site.</w:t>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PART V — COARSE / COMBINED-PRODUCT LOSS DURING TRANSIT</w:t>
            </w:r>
          </w:p>
        </w:tc>
      </w:tr>
    </w:tbl>
    <w:p>
      <w:pPr>
        <w:pStyle w:val="Heading1"/>
        <w:keepNext/>
      </w:pPr>
      <w:r>
        <w:rPr>
          <w:rFonts w:ascii="Arial" w:hAnsi="Arial"/>
          <w:b/>
        </w:rPr>
        <w:t>11 The Containment Problem Is Not Limited to Fines</w:t>
      </w:r>
    </w:p>
    <w:p>
      <w:pPr>
        <w:pStyle w:val="BodyText"/>
        <w:keepLines w:val="0"/>
        <w:spacing w:after="80" w:line="252" w:lineRule="auto"/>
      </w:pPr>
      <w:r>
        <w:t>The inspection also identified locations where coarse/lump or mixed product left the carrying belt during transit. These conditions are distinct from return-side fines/carryback: the governing requirement is that the carrying belt retains product within its usable transport envelope until the intended transfer or discharge. Feed quantity/product size, trajectory, usable belt width, mistracking, transfer geometry and local side containment must therefore be considered in the order supported by each case.</w:t>
      </w:r>
    </w:p>
    <w:p>
      <w:pPr>
        <w:pStyle w:val="BodyText"/>
        <w:keepLines w:val="0"/>
        <w:spacing w:after="80" w:line="252" w:lineRule="auto"/>
      </w:pPr>
      <w:r>
        <w:t>The control hierarchy is to identify the loss mechanism, verify feed and geometry, correct primary contributors, determine the residual containment duty, then design secondary containment only where a residual duty remains and the verified operating envelope allows it. Secondary barriers or skirts should not be used to mask an unresolved source problem.</w:t>
      </w:r>
    </w:p>
    <w:p>
      <w:pPr>
        <w:pStyle w:val="Heading1"/>
        <w:keepNext/>
      </w:pPr>
      <w:r>
        <w:rPr>
          <w:rFonts w:ascii="Arial" w:hAnsi="Arial"/>
          <w:b/>
        </w:rPr>
        <w:t>12 W10 — Coarse Product Loss in a Confined Tunnel</w:t>
      </w:r>
    </w:p>
    <w:p>
      <w:pPr>
        <w:pStyle w:val="BodyText"/>
        <w:keepLines w:val="0"/>
        <w:spacing w:after="80" w:line="252" w:lineRule="auto"/>
      </w:pPr>
      <w:r>
        <w:t>W10 is a significant local containment case because substantial coarse/mixed product has escaped the carrying envelope into a confined tunnel/access route. The photographs establish the consequence and restricted topology, but they do not isolate one definitive initiating cause for every deposit. A barrier/rail is therefore a secondary feasibility concept rather than a predetermined root-cause correction.</w:t>
      </w:r>
    </w:p>
    <w:p>
      <w:pPr>
        <w:pStyle w:val="BodyText"/>
        <w:keepLines w:val="0"/>
        <w:spacing w:after="80" w:line="252" w:lineRule="auto"/>
      </w:pPr>
      <w:r>
        <w:t>What is established is that product has entered a restricted access zone where accumulation has disproportionate operational consequence. Before any barrier is detailed, the normal belt tracking envelope, trough/belt/support geometry, available clearances, source contributors and clean-out/maintenance access must be verified. If still justified, the barrier should remain outside normal belt contact and must not introduce trapping, wear or access hazards.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17" name="Picture 17"/>
                  <wp:cNvGraphicFramePr>
                    <a:graphicFrameLocks noChangeAspect="1"/>
                  </wp:cNvGraphicFramePr>
                  <a:graphic>
                    <a:graphicData uri="http://schemas.openxmlformats.org/drawingml/2006/picture">
                      <pic:pic>
                        <pic:nvPicPr>
                          <pic:cNvPr id="0" name="W10-REF-010.jpg"/>
                          <pic:cNvPicPr/>
                        </pic:nvPicPr>
                        <pic:blipFill>
                          <a:blip r:embed="rId27"/>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W10-REF-010 — long tunnel view establishing the confined topology and restricted access.</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18" name="Picture 18"/>
                  <wp:cNvGraphicFramePr>
                    <a:graphicFrameLocks noChangeAspect="1"/>
                  </wp:cNvGraphicFramePr>
                  <a:graphic>
                    <a:graphicData uri="http://schemas.openxmlformats.org/drawingml/2006/picture">
                      <pic:pic>
                        <pic:nvPicPr>
                          <pic:cNvPr id="0" name="W10-REF-002.jpg"/>
                          <pic:cNvPicPr/>
                        </pic:nvPicPr>
                        <pic:blipFill>
                          <a:blip r:embed="rId13"/>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W10-REF-002 — principal coarse/mixed-product consequence in the access route.</w:t>
            </w:r>
          </w:p>
        </w:tc>
      </w:tr>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19" name="Picture 19"/>
                  <wp:cNvGraphicFramePr>
                    <a:graphicFrameLocks noChangeAspect="1"/>
                  </wp:cNvGraphicFramePr>
                  <a:graphic>
                    <a:graphicData uri="http://schemas.openxmlformats.org/drawingml/2006/picture">
                      <pic:pic>
                        <pic:nvPicPr>
                          <pic:cNvPr id="0" name="W10-REF-006.jpg"/>
                          <pic:cNvPicPr/>
                        </pic:nvPicPr>
                        <pic:blipFill>
                          <a:blip r:embed="rId28"/>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W10-REF-006 — product distributed below the conveyor around components, explaining local geometry.</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20" name="Picture 20"/>
                  <wp:cNvGraphicFramePr>
                    <a:graphicFrameLocks noChangeAspect="1"/>
                  </wp:cNvGraphicFramePr>
                  <a:graphic>
                    <a:graphicData uri="http://schemas.openxmlformats.org/drawingml/2006/picture">
                      <pic:pic>
                        <pic:nvPicPr>
                          <pic:cNvPr id="0" name="W10-REF-009.jpg"/>
                          <pic:cNvPicPr/>
                        </pic:nvPicPr>
                        <pic:blipFill>
                          <a:blip r:embed="rId29"/>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W10-REF-009 — product immediately beside support steel; useful context for local side-containment feasibility.</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Coarse/mixed product has escaped the intended carrying path and accumulated in a confined access tunnel.</w:t>
            </w:r>
          </w:p>
        </w:tc>
      </w:tr>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r/>
            <w:r>
              <w:rPr>
                <w:b w:val="0"/>
                <w:sz w:val="17"/>
              </w:rPr>
              <w:t>The exact initiating mechanism remains unresolved. The local barrier/rail concept is a secondary control to be considered only after tracking, loading, trough/support geometry and source-control opportunities are checked.</w:t>
            </w:r>
          </w:p>
        </w:tc>
      </w:tr>
      <w:tr>
        <w:trPr>
          <w:cantSplit/>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r/>
            <w:r>
              <w:rPr>
                <w:b w:val="0"/>
                <w:sz w:val="17"/>
              </w:rPr>
              <w:t>Establish the normal tracking envelope and geometry, investigate source contributors, then develop a local barrier/rail only if a residual containment duty remains. Verify representative operating clearance, access, trapping, wear and maintenance requirements before close-out.</w:t>
            </w:r>
          </w:p>
        </w:tc>
      </w:tr>
    </w:tbl>
    <w:p>
      <w:pPr>
        <w:keepNext/>
        <w:jc w:val="center"/>
      </w:pPr>
      <w:r>
        <w:drawing>
          <wp:inline xmlns:a="http://schemas.openxmlformats.org/drawingml/2006/main" xmlns:pic="http://schemas.openxmlformats.org/drawingml/2006/picture">
            <wp:extent cx="5486400" cy="3882060"/>
            <wp:docPr id="52" name="Picture 52"/>
            <wp:cNvGraphicFramePr>
              <a:graphicFrameLocks noChangeAspect="1"/>
            </wp:cNvGraphicFramePr>
            <a:graphic>
              <a:graphicData uri="http://schemas.openxmlformats.org/drawingml/2006/picture">
                <pic:pic>
                  <pic:nvPicPr>
                    <pic:cNvPr id="0" name="conveyor_barrier_containment_concept.png"/>
                    <pic:cNvPicPr/>
                  </pic:nvPicPr>
                  <pic:blipFill>
                    <a:blip r:embed="rId60"/>
                    <a:stretch>
                      <a:fillRect/>
                    </a:stretch>
                  </pic:blipFill>
                  <pic:spPr>
                    <a:xfrm>
                      <a:off x="0" y="0"/>
                      <a:ext cx="5486400" cy="3882060"/>
                    </a:xfrm>
                    <a:prstGeom prst="rect"/>
                  </pic:spPr>
                </pic:pic>
              </a:graphicData>
            </a:graphic>
          </wp:inline>
        </w:drawing>
      </w:r>
    </w:p>
    <w:p>
      <w:pPr>
        <w:pStyle w:val="Caption"/>
        <w:keepNext w:val="0"/>
        <w:keepLines/>
        <w:jc w:val="center"/>
      </w:pPr>
      <w:r>
        <w:t>CTD-002 — W10 Side-Containment Barrier Principle. Secondary concept only; not for fabrication; dimensions and tracking envelope to be verified.</w:t>
      </w:r>
    </w:p>
    <w:p>
      <w:pPr>
        <w:pStyle w:val="Heading1"/>
        <w:keepNext/>
      </w:pPr>
      <w:r>
        <w:rPr>
          <w:rFonts w:ascii="Arial" w:hAnsi="Arial"/>
          <w:b/>
        </w:rPr>
        <w:t>13 Sample Conveyors — Product Size, Feed and Limited Carrying Width</w:t>
      </w:r>
    </w:p>
    <w:p>
      <w:pPr>
        <w:pStyle w:val="BodyText"/>
        <w:keepLines w:val="0"/>
        <w:spacing w:after="80" w:line="252" w:lineRule="auto"/>
      </w:pPr>
      <w:r>
        <w:t>Sample Conveyors 2 and 3 both demonstrate pressure on a relatively narrow carrying envelope where coarse/lump product occupies a substantial proportion of the usable belt width. Their visible consequence is similar, but their evidence strength differs. The first question for both is whether representative product size, incoming quantity and feed trajectory are compatible with the verified usable carrying width.</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CONTROL HIERARCHY</w:t>
            </w:r>
          </w:p>
        </w:tc>
        <w:tc>
          <w:tcPr>
            <w:tcW w:type="dxa" w:w="4876"/>
            <w:shd w:fill="EEF3F8"/>
            <w:tcMar>
              <w:top w:w="80" w:type="dxa"/>
              <w:start w:w="100" w:type="dxa"/>
              <w:bottom w:w="80" w:type="dxa"/>
              <w:end w:w="100" w:type="dxa"/>
            </w:tcMar>
            <w:vAlign w:val="center"/>
          </w:tcPr>
          <w:p>
            <w:r/>
            <w:r>
              <w:rPr>
                <w:b w:val="0"/>
                <w:sz w:val="18"/>
              </w:rPr>
              <w:t>1. Verify/control incoming feed and product condition.  2. Measure usable belt width and carrying margin.  3. Verify/correct tracking and mechanical contributors.  4. Apply secondary containment only if a residual duty remains.</w:t>
            </w:r>
          </w:p>
        </w:tc>
      </w:tr>
    </w:tbl>
    <w:p>
      <w:pPr>
        <w:pStyle w:val="Heading2"/>
        <w:keepNext/>
      </w:pPr>
      <w:r>
        <w:rPr>
          <w:rFonts w:ascii="Arial" w:hAnsi="Arial"/>
          <w:b/>
        </w:rPr>
        <w:t>13.1 Sample Conveyor 2</w:t>
      </w:r>
    </w:p>
    <w:p>
      <w:pPr>
        <w:pStyle w:val="BodyText"/>
        <w:keepLines w:val="0"/>
        <w:spacing w:after="80" w:line="252" w:lineRule="auto"/>
      </w:pPr>
      <w:r>
        <w:t>At Sample Conveyor 2, coarse/lump product occupying a substantial proportion of the narrow belt and surrounding containment loss are directly supported. Significant mistracking is not established by the still evidence and the photographs do not prove quantitative design-capacity overload. Feed quantity/product size, trajectory, usable belt width and live tracking therefore require verification before final side containment is specified.</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3251"/>
        <w:gridCol w:w="3251"/>
        <w:gridCol w:w="3251"/>
      </w:tblGrid>
      <w:tr>
        <w:trPr>
          <w:cantSplit/>
          <w:cantSplit/>
        </w:trPr>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929462"/>
                  <wp:docPr id="21" name="Picture 21"/>
                  <wp:cNvGraphicFramePr>
                    <a:graphicFrameLocks noChangeAspect="1"/>
                  </wp:cNvGraphicFramePr>
                  <a:graphic>
                    <a:graphicData uri="http://schemas.openxmlformats.org/drawingml/2006/picture">
                      <pic:pic>
                        <pic:nvPicPr>
                          <pic:cNvPr id="0" name="LoadoutStationSample2-REF-004.jpg"/>
                          <pic:cNvPicPr/>
                        </pic:nvPicPr>
                        <pic:blipFill>
                          <a:blip r:embed="rId30"/>
                          <a:stretch>
                            <a:fillRect/>
                          </a:stretch>
                        </pic:blipFill>
                        <pic:spPr>
                          <a:xfrm>
                            <a:off x="0" y="0"/>
                            <a:ext cx="1965960" cy="929462"/>
                          </a:xfrm>
                          <a:prstGeom prst="rect"/>
                        </pic:spPr>
                      </pic:pic>
                    </a:graphicData>
                  </a:graphic>
                </wp:inline>
              </w:drawing>
            </w:r>
          </w:p>
          <w:p>
            <w:pPr>
              <w:keepLines/>
              <w:spacing w:after="0"/>
              <w:jc w:val="center"/>
            </w:pPr>
            <w:r>
              <w:rPr>
                <w:rFonts w:ascii="Arial" w:hAnsi="Arial"/>
                <w:b/>
                <w:color w:val="404040"/>
                <w:sz w:val="14"/>
              </w:rPr>
              <w:t>LoadoutStationSample2-REF-004 — coarse product occupying a substantial proportion of the narrow belt width.</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4158317"/>
                  <wp:docPr id="22" name="Picture 22"/>
                  <wp:cNvGraphicFramePr>
                    <a:graphicFrameLocks noChangeAspect="1"/>
                  </wp:cNvGraphicFramePr>
                  <a:graphic>
                    <a:graphicData uri="http://schemas.openxmlformats.org/drawingml/2006/picture">
                      <pic:pic>
                        <pic:nvPicPr>
                          <pic:cNvPr id="0" name="LoadoutStationSample2-REF-006.jpg"/>
                          <pic:cNvPicPr/>
                        </pic:nvPicPr>
                        <pic:blipFill>
                          <a:blip r:embed="rId31"/>
                          <a:stretch>
                            <a:fillRect/>
                          </a:stretch>
                        </pic:blipFill>
                        <pic:spPr>
                          <a:xfrm>
                            <a:off x="0" y="0"/>
                            <a:ext cx="1965960" cy="4158317"/>
                          </a:xfrm>
                          <a:prstGeom prst="rect"/>
                        </pic:spPr>
                      </pic:pic>
                    </a:graphicData>
                  </a:graphic>
                </wp:inline>
              </w:drawing>
            </w:r>
          </w:p>
          <w:p>
            <w:pPr>
              <w:keepLines/>
              <w:spacing w:after="0"/>
              <w:jc w:val="center"/>
            </w:pPr>
            <w:r>
              <w:rPr>
                <w:rFonts w:ascii="Arial" w:hAnsi="Arial"/>
                <w:b/>
                <w:color w:val="404040"/>
                <w:sz w:val="14"/>
              </w:rPr>
              <w:t>LoadoutStationSample2-REF-006 — product accumulated through/around the local enclosure and outside the intended carrying path.</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4158317"/>
                  <wp:docPr id="23" name="Picture 23"/>
                  <wp:cNvGraphicFramePr>
                    <a:graphicFrameLocks noChangeAspect="1"/>
                  </wp:cNvGraphicFramePr>
                  <a:graphic>
                    <a:graphicData uri="http://schemas.openxmlformats.org/drawingml/2006/picture">
                      <pic:pic>
                        <pic:nvPicPr>
                          <pic:cNvPr id="0" name="LoadoutStationSample2-REF-001.jpg"/>
                          <pic:cNvPicPr/>
                        </pic:nvPicPr>
                        <pic:blipFill>
                          <a:blip r:embed="rId32"/>
                          <a:stretch>
                            <a:fillRect/>
                          </a:stretch>
                        </pic:blipFill>
                        <pic:spPr>
                          <a:xfrm>
                            <a:off x="0" y="0"/>
                            <a:ext cx="1965960" cy="4158317"/>
                          </a:xfrm>
                          <a:prstGeom prst="rect"/>
                        </pic:spPr>
                      </pic:pic>
                    </a:graphicData>
                  </a:graphic>
                </wp:inline>
              </w:drawing>
            </w:r>
          </w:p>
          <w:p>
            <w:pPr>
              <w:keepLines/>
              <w:spacing w:after="0"/>
              <w:jc w:val="center"/>
            </w:pPr>
            <w:r>
              <w:rPr>
                <w:rFonts w:ascii="Arial" w:hAnsi="Arial"/>
                <w:b/>
                <w:color w:val="404040"/>
                <w:sz w:val="14"/>
              </w:rPr>
              <w:t>LoadoutStationSample2-REF-001 — extensive surrounding lump-product accumulation.</w:t>
            </w:r>
          </w:p>
        </w:tc>
      </w:tr>
    </w:tbl>
    <w:p>
      <w:pPr>
        <w:pStyle w:val="BodyText"/>
        <w:keepLines w:val="0"/>
        <w:spacing w:after="80" w:line="252" w:lineRule="auto"/>
      </w:pPr>
      <w:r>
        <w:t>The preferred sequence is to establish the feed-control/metering mechanism, observe representative loading, measure usable belt width and normal edge clearance, and check live tracking without presuming a fault. Secondary support/skirt/rail geometry should only be developed after those primary conditions are known.</w:t>
      </w:r>
    </w:p>
    <w:p>
      <w:pPr>
        <w:pStyle w:val="Heading2"/>
        <w:keepNext/>
      </w:pPr>
      <w:r>
        <w:rPr>
          <w:rFonts w:ascii="Arial" w:hAnsi="Arial"/>
          <w:b/>
        </w:rPr>
        <w:t>13.2 Sample Conveyor 3</w:t>
      </w:r>
    </w:p>
    <w:p>
      <w:pPr>
        <w:pStyle w:val="BodyText"/>
        <w:keepLines w:val="0"/>
        <w:spacing w:after="80" w:line="252" w:lineRule="auto"/>
      </w:pPr>
      <w:r>
        <w:t>Sample Conveyor 3 combines the same narrow-belt/product-size containment pressure with visually supported lateral offset/mistracking. The magnitude remains unmeasured and the mechanical root cause is unresolved. This case therefore requires both feed/loading verification and quantitative tracking/alignment checks before secondary containment is finalised.</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4" name="Picture 24"/>
                  <wp:cNvGraphicFramePr>
                    <a:graphicFrameLocks noChangeAspect="1"/>
                  </wp:cNvGraphicFramePr>
                  <a:graphic>
                    <a:graphicData uri="http://schemas.openxmlformats.org/drawingml/2006/picture">
                      <pic:pic>
                        <pic:nvPicPr>
                          <pic:cNvPr id="0" name="LoadoutStationSample3-REF-005.jpg"/>
                          <pic:cNvPicPr/>
                        </pic:nvPicPr>
                        <pic:blipFill>
                          <a:blip r:embed="rId33"/>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LoadoutStationSample3-REF-005 — large lumps occupying much of the available narrow belt width.</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5" name="Picture 25"/>
                  <wp:cNvGraphicFramePr>
                    <a:graphicFrameLocks noChangeAspect="1"/>
                  </wp:cNvGraphicFramePr>
                  <a:graphic>
                    <a:graphicData uri="http://schemas.openxmlformats.org/drawingml/2006/picture">
                      <pic:pic>
                        <pic:nvPicPr>
                          <pic:cNvPr id="0" name="LoadoutStationSample3-REF-013.jpg"/>
                          <pic:cNvPicPr/>
                        </pic:nvPicPr>
                        <pic:blipFill>
                          <a:blip r:embed="rId34"/>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LoadoutStationSample3-REF-013 — strongest still supporting lateral belt offset relative to the training/guide arrangement.</w:t>
            </w:r>
          </w:p>
        </w:tc>
      </w:tr>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6" name="Picture 26"/>
                  <wp:cNvGraphicFramePr>
                    <a:graphicFrameLocks noChangeAspect="1"/>
                  </wp:cNvGraphicFramePr>
                  <a:graphic>
                    <a:graphicData uri="http://schemas.openxmlformats.org/drawingml/2006/picture">
                      <pic:pic>
                        <pic:nvPicPr>
                          <pic:cNvPr id="0" name="LoadoutStationSample3-REF-002.jpg"/>
                          <pic:cNvPicPr/>
                        </pic:nvPicPr>
                        <pic:blipFill>
                          <a:blip r:embed="rId35"/>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LoadoutStationSample3-REF-002 — coarse product accumulated around/outside the intended belt path.</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7" name="Picture 27"/>
                  <wp:cNvGraphicFramePr>
                    <a:graphicFrameLocks noChangeAspect="1"/>
                  </wp:cNvGraphicFramePr>
                  <a:graphic>
                    <a:graphicData uri="http://schemas.openxmlformats.org/drawingml/2006/picture">
                      <pic:pic>
                        <pic:nvPicPr>
                          <pic:cNvPr id="0" name="LoadoutStationSample3-REF-012.jpg"/>
                          <pic:cNvPicPr/>
                        </pic:nvPicPr>
                        <pic:blipFill>
                          <a:blip r:embed="rId36"/>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LoadoutStationSample3-REF-012 — extensive mixed-size accumulation on surrounding grating/access.</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Product-size/available-width pressure and significant surrounding spillage are visually established; lateral offset/mistracking is also visually supported.</w:t>
            </w:r>
          </w:p>
        </w:tc>
      </w:tr>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The evidence does not justify a measured percentage or millimetre offset, and it does not prove whether head/tail alignment, tension, trapped material or another mechanical condition is the root cause.</w:t>
            </w:r>
          </w:p>
        </w:tc>
      </w:tr>
      <w:tr>
        <w:trPr>
          <w:cantSplit/>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Control feed/load, measure and correct tracking/alignment under representative operation, then develop secondary side-containment only where required by the verified geometry.</w:t>
            </w:r>
          </w:p>
        </w:tc>
      </w:tr>
    </w:tbl>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456"/>
            <w:vAlign w:val="center"/>
          </w:tcPr>
          <w:p>
            <w:r/>
            <w:r>
              <w:rPr>
                <w:b/>
                <w:sz w:val="16"/>
              </w:rPr>
              <w:t>Question</w:t>
            </w:r>
          </w:p>
        </w:tc>
        <w:tc>
          <w:tcPr>
            <w:tcW w:type="dxa" w:w="2592"/>
            <w:vAlign w:val="center"/>
          </w:tcPr>
          <w:p>
            <w:r/>
            <w:r>
              <w:rPr>
                <w:b/>
                <w:sz w:val="16"/>
              </w:rPr>
              <w:t>Sample Conveyor 2</w:t>
            </w:r>
          </w:p>
        </w:tc>
        <w:tc>
          <w:tcPr>
            <w:tcW w:type="dxa" w:w="2592"/>
            <w:vAlign w:val="center"/>
          </w:tcPr>
          <w:p>
            <w:r/>
            <w:r>
              <w:rPr>
                <w:b/>
                <w:sz w:val="16"/>
              </w:rPr>
              <w:t>Sample Conveyor 3</w:t>
            </w:r>
          </w:p>
        </w:tc>
      </w:tr>
      <w:tr>
        <w:trPr>
          <w:cantSplit/>
        </w:trPr>
        <w:tc>
          <w:tcPr>
            <w:tcW w:type="dxa" w:w="3456"/>
            <w:vAlign w:val="top"/>
          </w:tcPr>
          <w:p>
            <w:r/>
            <w:r>
              <w:rPr>
                <w:b w:val="0"/>
                <w:sz w:val="16"/>
              </w:rPr>
              <w:t>Loading / carrying-width concern</w:t>
            </w:r>
          </w:p>
        </w:tc>
        <w:tc>
          <w:tcPr>
            <w:tcW w:type="dxa" w:w="2592"/>
            <w:vAlign w:val="top"/>
          </w:tcPr>
          <w:p>
            <w:r/>
            <w:r>
              <w:rPr>
                <w:b w:val="0"/>
                <w:sz w:val="16"/>
              </w:rPr>
              <w:t>Supported</w:t>
            </w:r>
          </w:p>
        </w:tc>
        <w:tc>
          <w:tcPr>
            <w:tcW w:type="dxa" w:w="2592"/>
            <w:vAlign w:val="top"/>
          </w:tcPr>
          <w:p>
            <w:r/>
            <w:r>
              <w:rPr>
                <w:b w:val="0"/>
                <w:sz w:val="16"/>
              </w:rPr>
              <w:t>Supported</w:t>
            </w:r>
          </w:p>
        </w:tc>
      </w:tr>
      <w:tr>
        <w:trPr>
          <w:cantSplit/>
        </w:trPr>
        <w:tc>
          <w:tcPr>
            <w:tcW w:type="dxa" w:w="3456"/>
            <w:vAlign w:val="top"/>
          </w:tcPr>
          <w:p>
            <w:r/>
            <w:r>
              <w:rPr>
                <w:b w:val="0"/>
                <w:sz w:val="16"/>
              </w:rPr>
              <w:t>Significant mistracking established by current evidence</w:t>
            </w:r>
          </w:p>
        </w:tc>
        <w:tc>
          <w:tcPr>
            <w:tcW w:type="dxa" w:w="2592"/>
            <w:vAlign w:val="top"/>
          </w:tcPr>
          <w:p>
            <w:r/>
            <w:r>
              <w:rPr>
                <w:b w:val="0"/>
                <w:sz w:val="16"/>
              </w:rPr>
              <w:t>No</w:t>
            </w:r>
          </w:p>
        </w:tc>
        <w:tc>
          <w:tcPr>
            <w:tcW w:type="dxa" w:w="2592"/>
            <w:vAlign w:val="top"/>
          </w:tcPr>
          <w:p>
            <w:r/>
            <w:r>
              <w:rPr>
                <w:b w:val="0"/>
                <w:sz w:val="16"/>
              </w:rPr>
              <w:t>Yes — visually supported</w:t>
            </w:r>
          </w:p>
        </w:tc>
      </w:tr>
      <w:tr>
        <w:trPr>
          <w:cantSplit/>
        </w:trPr>
        <w:tc>
          <w:tcPr>
            <w:tcW w:type="dxa" w:w="3456"/>
            <w:vAlign w:val="top"/>
          </w:tcPr>
          <w:p>
            <w:r/>
            <w:r>
              <w:rPr>
                <w:b w:val="0"/>
                <w:sz w:val="16"/>
              </w:rPr>
              <w:t>Offset magnitude measured</w:t>
            </w:r>
          </w:p>
        </w:tc>
        <w:tc>
          <w:tcPr>
            <w:tcW w:type="dxa" w:w="2592"/>
            <w:vAlign w:val="top"/>
          </w:tcPr>
          <w:p>
            <w:r/>
            <w:r>
              <w:rPr>
                <w:b w:val="0"/>
                <w:sz w:val="16"/>
              </w:rPr>
              <w:t>N/A / not established</w:t>
            </w:r>
          </w:p>
        </w:tc>
        <w:tc>
          <w:tcPr>
            <w:tcW w:type="dxa" w:w="2592"/>
            <w:vAlign w:val="top"/>
          </w:tcPr>
          <w:p>
            <w:r/>
            <w:r>
              <w:rPr>
                <w:b w:val="0"/>
                <w:sz w:val="16"/>
              </w:rPr>
              <w:t>No — measurement required</w:t>
            </w:r>
          </w:p>
        </w:tc>
      </w:tr>
      <w:tr>
        <w:trPr>
          <w:cantSplit/>
        </w:trPr>
        <w:tc>
          <w:tcPr>
            <w:tcW w:type="dxa" w:w="3456"/>
            <w:vAlign w:val="top"/>
          </w:tcPr>
          <w:p>
            <w:r/>
            <w:r>
              <w:rPr>
                <w:b w:val="0"/>
                <w:sz w:val="16"/>
              </w:rPr>
              <w:t>Primary next step</w:t>
            </w:r>
          </w:p>
        </w:tc>
        <w:tc>
          <w:tcPr>
            <w:tcW w:type="dxa" w:w="2592"/>
            <w:vAlign w:val="top"/>
          </w:tcPr>
          <w:p>
            <w:r/>
            <w:r>
              <w:rPr>
                <w:b w:val="0"/>
                <w:sz w:val="16"/>
              </w:rPr>
              <w:t>Verify feed, width and live tracking</w:t>
            </w:r>
          </w:p>
        </w:tc>
        <w:tc>
          <w:tcPr>
            <w:tcW w:type="dxa" w:w="2592"/>
            <w:vAlign w:val="top"/>
          </w:tcPr>
          <w:p>
            <w:r/>
            <w:r>
              <w:rPr>
                <w:b w:val="0"/>
                <w:sz w:val="16"/>
              </w:rPr>
              <w:t>Verify feed + quantify/correct tracking</w:t>
            </w:r>
          </w:p>
        </w:tc>
      </w:tr>
      <w:tr>
        <w:trPr>
          <w:cantSplit/>
        </w:trPr>
        <w:tc>
          <w:tcPr>
            <w:tcW w:type="dxa" w:w="3456"/>
            <w:vAlign w:val="top"/>
          </w:tcPr>
          <w:p>
            <w:r/>
            <w:r>
              <w:rPr>
                <w:b w:val="0"/>
                <w:sz w:val="16"/>
              </w:rPr>
              <w:t>Secondary containment</w:t>
            </w:r>
          </w:p>
        </w:tc>
        <w:tc>
          <w:tcPr>
            <w:tcW w:type="dxa" w:w="2592"/>
            <w:vAlign w:val="top"/>
          </w:tcPr>
          <w:p>
            <w:r/>
            <w:r>
              <w:rPr>
                <w:b w:val="0"/>
                <w:sz w:val="16"/>
              </w:rPr>
              <w:t>Only after feed/tracking condition established</w:t>
            </w:r>
          </w:p>
        </w:tc>
        <w:tc>
          <w:tcPr>
            <w:tcW w:type="dxa" w:w="2592"/>
            <w:vAlign w:val="top"/>
          </w:tcPr>
          <w:p>
            <w:r/>
            <w:r>
              <w:rPr>
                <w:b w:val="0"/>
                <w:sz w:val="16"/>
              </w:rPr>
              <w:t>Only after feed/tracking correction and residual duty confirmed</w:t>
            </w:r>
          </w:p>
        </w:tc>
      </w:tr>
    </w:tbl>
    <w:p>
      <w:pPr>
        <w:keepNext/>
        <w:jc w:val="center"/>
      </w:pPr>
      <w:r>
        <w:drawing>
          <wp:inline xmlns:a="http://schemas.openxmlformats.org/drawingml/2006/main" xmlns:pic="http://schemas.openxmlformats.org/drawingml/2006/picture">
            <wp:extent cx="5486400" cy="3882060"/>
            <wp:docPr id="53" name="Picture 53"/>
            <wp:cNvGraphicFramePr>
              <a:graphicFrameLocks noChangeAspect="1"/>
            </wp:cNvGraphicFramePr>
            <a:graphic>
              <a:graphicData uri="http://schemas.openxmlformats.org/drawingml/2006/picture">
                <pic:pic>
                  <pic:nvPicPr>
                    <pic:cNvPr id="0" name="conveyor_containment_control_hierarchy.png"/>
                    <pic:cNvPicPr/>
                  </pic:nvPicPr>
                  <pic:blipFill>
                    <a:blip r:embed="rId61"/>
                    <a:stretch>
                      <a:fillRect/>
                    </a:stretch>
                  </pic:blipFill>
                  <pic:spPr>
                    <a:xfrm>
                      <a:off x="0" y="0"/>
                      <a:ext cx="5486400" cy="3882060"/>
                    </a:xfrm>
                    <a:prstGeom prst="rect"/>
                  </pic:spPr>
                </pic:pic>
              </a:graphicData>
            </a:graphic>
          </wp:inline>
        </w:drawing>
      </w:r>
    </w:p>
    <w:p>
      <w:pPr>
        <w:pStyle w:val="Caption"/>
        <w:keepNext w:val="0"/>
        <w:keepLines/>
        <w:jc w:val="center"/>
      </w:pPr>
      <w:r>
        <w:t>CTD-003 — Sample Conveyor Containment-Control Hierarchy. Conceptual only; not for fabrication; site geometry to be verified.</w:t>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PART VI — ALIGNMENT AND LOCAL PRODUCT-LOSS MECHANISMS</w:t>
            </w:r>
          </w:p>
        </w:tc>
      </w:tr>
    </w:tbl>
    <w:p>
      <w:pPr>
        <w:pStyle w:val="Heading1"/>
        <w:keepNext/>
      </w:pPr>
      <w:r>
        <w:rPr>
          <w:rFonts w:ascii="Arial" w:hAnsi="Arial"/>
          <w:b/>
        </w:rPr>
        <w:t>14 Belt Tracking as a Material-Containment Requirement</w:t>
      </w:r>
    </w:p>
    <w:p>
      <w:pPr>
        <w:pStyle w:val="BodyText"/>
        <w:keepLines w:val="0"/>
        <w:spacing w:after="80" w:line="252" w:lineRule="auto"/>
      </w:pPr>
      <w:r>
        <w:t>A carrying belt only retains its full material-containment margin when the operating belt position remains suitably centred relative to the supporting structure. Lateral displacement reduces usable carrying margin on one side and can expose coarse/mixed product to the edge of the carrying envelope. Tracking is therefore both a mechanical condition and a material-containment requirement.</w:t>
      </w:r>
    </w:p>
    <w:p>
      <w:pPr>
        <w:pStyle w:val="Heading1"/>
        <w:keepNext/>
      </w:pPr>
      <w:r>
        <w:rPr>
          <w:rFonts w:ascii="Arial" w:hAnsi="Arial"/>
          <w:b/>
        </w:rPr>
        <w:t>15 U4 Tripper Car — Strong Local Cause-and-Effect Example</w:t>
      </w:r>
    </w:p>
    <w:p>
      <w:pPr>
        <w:pStyle w:val="BodyText"/>
        <w:keepLines w:val="0"/>
        <w:spacing w:after="80" w:line="252" w:lineRule="auto"/>
      </w:pPr>
      <w:r>
        <w:t>U4 is the strongest local tracking-to-product-loss case because the evidence supports both the mechanical condition and the directional consequence: significant lateral mistracking together with one-sided coarse/lump-product accumulation. Tail-pulley misalignment was recorded during inspection and is visually supported, but its magnitude was not quantified against fixed survey references.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8" name="Picture 28"/>
                  <wp:cNvGraphicFramePr>
                    <a:graphicFrameLocks noChangeAspect="1"/>
                  </wp:cNvGraphicFramePr>
                  <a:graphic>
                    <a:graphicData uri="http://schemas.openxmlformats.org/drawingml/2006/picture">
                      <pic:pic>
                        <pic:nvPicPr>
                          <pic:cNvPr id="0" name="UGU4-REF-006.jpg"/>
                          <pic:cNvPicPr/>
                        </pic:nvPicPr>
                        <pic:blipFill>
                          <a:blip r:embed="rId37"/>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UGU4-REF-006 — principal local product-loss / mistracking context.</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9" name="Picture 29"/>
                  <wp:cNvGraphicFramePr>
                    <a:graphicFrameLocks noChangeAspect="1"/>
                  </wp:cNvGraphicFramePr>
                  <a:graphic>
                    <a:graphicData uri="http://schemas.openxmlformats.org/drawingml/2006/picture">
                      <pic:pic>
                        <pic:nvPicPr>
                          <pic:cNvPr id="0" name="UGU4-REF-007.jpg"/>
                          <pic:cNvPicPr/>
                        </pic:nvPicPr>
                        <pic:blipFill>
                          <a:blip r:embed="rId38"/>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UGU4-REF-007 — significant lateral belt position and local material condition.</w:t>
            </w:r>
          </w:p>
        </w:tc>
      </w:tr>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697355"/>
                  <wp:docPr id="30" name="Picture 30"/>
                  <wp:cNvGraphicFramePr>
                    <a:graphicFrameLocks noChangeAspect="1"/>
                  </wp:cNvGraphicFramePr>
                  <a:graphic>
                    <a:graphicData uri="http://schemas.openxmlformats.org/drawingml/2006/picture">
                      <pic:pic>
                        <pic:nvPicPr>
                          <pic:cNvPr id="0" name="UGU4-REF-009.jpg"/>
                          <pic:cNvPicPr/>
                        </pic:nvPicPr>
                        <pic:blipFill>
                          <a:blip r:embed="rId39"/>
                          <a:stretch>
                            <a:fillRect/>
                          </a:stretch>
                        </pic:blipFill>
                        <pic:spPr>
                          <a:xfrm>
                            <a:off x="0" y="0"/>
                            <a:ext cx="3017520" cy="1697355"/>
                          </a:xfrm>
                          <a:prstGeom prst="rect"/>
                        </pic:spPr>
                      </pic:pic>
                    </a:graphicData>
                  </a:graphic>
                </wp:inline>
              </w:drawing>
            </w:r>
          </w:p>
          <w:p>
            <w:pPr>
              <w:keepLines/>
              <w:spacing w:after="0"/>
              <w:jc w:val="center"/>
            </w:pPr>
            <w:r>
              <w:rPr>
                <w:rFonts w:ascii="Arial" w:hAnsi="Arial"/>
                <w:b/>
                <w:color w:val="404040"/>
                <w:sz w:val="15"/>
              </w:rPr>
              <w:t>UGU4-REF-009 — supporting belt/roller relationship.</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31" name="Picture 31"/>
                  <wp:cNvGraphicFramePr>
                    <a:graphicFrameLocks noChangeAspect="1"/>
                  </wp:cNvGraphicFramePr>
                  <a:graphic>
                    <a:graphicData uri="http://schemas.openxmlformats.org/drawingml/2006/picture">
                      <pic:pic>
                        <pic:nvPicPr>
                          <pic:cNvPr id="0" name="UGU4-REF-011.jpg"/>
                          <pic:cNvPicPr/>
                        </pic:nvPicPr>
                        <pic:blipFill>
                          <a:blip r:embed="rId40"/>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UGU4-REF-011 — strong local consequence / accumulation evidence.</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Mistracking and one-side product loss are visually verified at U4.</w:t>
            </w:r>
          </w:p>
        </w:tc>
      </w:tr>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Tail-pulley misalignment remains unquantified. The local cleaner arrangement is materially different from CV09 and must not receive a generic replicated solution.</w:t>
            </w:r>
          </w:p>
        </w:tc>
      </w:tr>
      <w:tr>
        <w:trPr>
          <w:cantSplit/>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Quantitatively verify/realign relevant pulley geometry, check tracking through representative operation and full tripper travel, and assess the U4 cleaner/containment configuration separately.</w:t>
            </w:r>
          </w:p>
        </w:tc>
      </w:tr>
    </w:tbl>
    <w:p>
      <w:pPr>
        <w:pStyle w:val="Heading1"/>
        <w:keepNext/>
      </w:pPr>
      <w:r>
        <w:rPr>
          <w:rFonts w:ascii="Arial" w:hAnsi="Arial"/>
          <w:b/>
        </w:rPr>
        <w:t>16 L3 — Alignment Concern Without Proven Solid-Product Causal Chain</w:t>
      </w:r>
    </w:p>
    <w:p>
      <w:pPr>
        <w:pStyle w:val="BodyText"/>
        <w:keepLines w:val="0"/>
        <w:spacing w:after="80" w:line="252" w:lineRule="auto"/>
      </w:pPr>
      <w:r>
        <w:t>L3 is deliberately retained as the evidence-discipline contrast to U4. The tail-end belt/pulley offset is supported, but the current record does not establish an equivalent causal chain to significant solid/lump-product loss. The alignment concern and the local fines/carryback condition must therefore remain separate until measurement and representative operating evidence establish more.</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32" name="Picture 32"/>
                  <wp:cNvGraphicFramePr>
                    <a:graphicFrameLocks noChangeAspect="1"/>
                  </wp:cNvGraphicFramePr>
                  <a:graphic>
                    <a:graphicData uri="http://schemas.openxmlformats.org/drawingml/2006/picture">
                      <pic:pic>
                        <pic:nvPicPr>
                          <pic:cNvPr id="0" name="LoadoutStationL3-REF-001.jpg"/>
                          <pic:cNvPicPr/>
                        </pic:nvPicPr>
                        <pic:blipFill>
                          <a:blip r:embed="rId41"/>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LoadoutStationL3-REF-001 — tail-end asymmetric belt/pulley relationship supporting the recorded offset; quantitative alignment measurement remains required.</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6382533"/>
                  <wp:docPr id="33" name="Picture 33"/>
                  <wp:cNvGraphicFramePr>
                    <a:graphicFrameLocks noChangeAspect="1"/>
                  </wp:cNvGraphicFramePr>
                  <a:graphic>
                    <a:graphicData uri="http://schemas.openxmlformats.org/drawingml/2006/picture">
                      <pic:pic>
                        <pic:nvPicPr>
                          <pic:cNvPr id="0" name="LoadoutStationL3-REF-007.jpg"/>
                          <pic:cNvPicPr/>
                        </pic:nvPicPr>
                        <pic:blipFill>
                          <a:blip r:embed="rId42"/>
                          <a:stretch>
                            <a:fillRect/>
                          </a:stretch>
                        </pic:blipFill>
                        <pic:spPr>
                          <a:xfrm>
                            <a:off x="0" y="0"/>
                            <a:ext cx="3017520" cy="6382533"/>
                          </a:xfrm>
                          <a:prstGeom prst="rect"/>
                        </pic:spPr>
                      </pic:pic>
                    </a:graphicData>
                  </a:graphic>
                </wp:inline>
              </w:drawing>
            </w:r>
          </w:p>
          <w:p>
            <w:pPr>
              <w:keepLines/>
              <w:spacing w:after="0"/>
              <w:jc w:val="center"/>
            </w:pPr>
            <w:r>
              <w:rPr>
                <w:rFonts w:ascii="Arial" w:hAnsi="Arial"/>
                <w:b/>
                <w:color w:val="404040"/>
                <w:sz w:val="15"/>
              </w:rPr>
              <w:t>LoadoutStationL3-REF-007 — fine-material accumulation on guarding/adjacent structure.</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EVIDENCE DISCIPLINE</w:t>
            </w:r>
          </w:p>
        </w:tc>
        <w:tc>
          <w:tcPr>
            <w:tcW w:type="dxa" w:w="4876"/>
            <w:shd w:fill="EEF3F8"/>
            <w:tcMar>
              <w:top w:w="80" w:type="dxa"/>
              <w:start w:w="100" w:type="dxa"/>
              <w:bottom w:w="80" w:type="dxa"/>
              <w:end w:w="100" w:type="dxa"/>
            </w:tcMar>
            <w:vAlign w:val="center"/>
          </w:tcPr>
          <w:p>
            <w:r/>
            <w:r>
              <w:rPr>
                <w:b w:val="0"/>
                <w:sz w:val="18"/>
              </w:rPr>
              <w:t>A mechanical alignment finding becomes a material-loss conclusion only to the extent that the evidence supports the connection. U4 supports tracking plus directional product loss; L3 presently supports an alignment/offset concern requiring quantitative verification.</w:t>
            </w:r>
          </w:p>
        </w:tc>
      </w:tr>
    </w:tbl>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4032"/>
            <w:vAlign w:val="center"/>
          </w:tcPr>
          <w:p>
            <w:r/>
            <w:r>
              <w:rPr>
                <w:b/>
                <w:sz w:val="16"/>
              </w:rPr>
              <w:t>Evidence question</w:t>
            </w:r>
          </w:p>
        </w:tc>
        <w:tc>
          <w:tcPr>
            <w:tcW w:type="dxa" w:w="2160"/>
            <w:vAlign w:val="center"/>
          </w:tcPr>
          <w:p>
            <w:r/>
            <w:r>
              <w:rPr>
                <w:b/>
                <w:sz w:val="16"/>
              </w:rPr>
              <w:t>U4</w:t>
            </w:r>
          </w:p>
        </w:tc>
        <w:tc>
          <w:tcPr>
            <w:tcW w:type="dxa" w:w="2448"/>
            <w:vAlign w:val="center"/>
          </w:tcPr>
          <w:p>
            <w:r/>
            <w:r>
              <w:rPr>
                <w:b/>
                <w:sz w:val="16"/>
              </w:rPr>
              <w:t>L3</w:t>
            </w:r>
          </w:p>
        </w:tc>
      </w:tr>
      <w:tr>
        <w:trPr>
          <w:cantSplit/>
        </w:trPr>
        <w:tc>
          <w:tcPr>
            <w:tcW w:type="dxa" w:w="4032"/>
            <w:vAlign w:val="top"/>
          </w:tcPr>
          <w:p>
            <w:r/>
            <w:r>
              <w:rPr>
                <w:b w:val="0"/>
                <w:sz w:val="16"/>
              </w:rPr>
              <w:t>Offset / tracking concern supported</w:t>
            </w:r>
          </w:p>
        </w:tc>
        <w:tc>
          <w:tcPr>
            <w:tcW w:type="dxa" w:w="2160"/>
            <w:vAlign w:val="top"/>
          </w:tcPr>
          <w:p>
            <w:r/>
            <w:r>
              <w:rPr>
                <w:b w:val="0"/>
                <w:sz w:val="16"/>
              </w:rPr>
              <w:t>Yes</w:t>
            </w:r>
          </w:p>
        </w:tc>
        <w:tc>
          <w:tcPr>
            <w:tcW w:type="dxa" w:w="2448"/>
            <w:vAlign w:val="top"/>
          </w:tcPr>
          <w:p>
            <w:r/>
            <w:r>
              <w:rPr>
                <w:b w:val="0"/>
                <w:sz w:val="16"/>
              </w:rPr>
              <w:t>Yes</w:t>
            </w:r>
          </w:p>
        </w:tc>
      </w:tr>
      <w:tr>
        <w:trPr>
          <w:cantSplit/>
        </w:trPr>
        <w:tc>
          <w:tcPr>
            <w:tcW w:type="dxa" w:w="4032"/>
            <w:vAlign w:val="top"/>
          </w:tcPr>
          <w:p>
            <w:r/>
            <w:r>
              <w:rPr>
                <w:b w:val="0"/>
                <w:sz w:val="16"/>
              </w:rPr>
              <w:t>Alignment magnitude measured</w:t>
            </w:r>
          </w:p>
        </w:tc>
        <w:tc>
          <w:tcPr>
            <w:tcW w:type="dxa" w:w="2160"/>
            <w:vAlign w:val="top"/>
          </w:tcPr>
          <w:p>
            <w:r/>
            <w:r>
              <w:rPr>
                <w:b w:val="0"/>
                <w:sz w:val="16"/>
              </w:rPr>
              <w:t>No</w:t>
            </w:r>
          </w:p>
        </w:tc>
        <w:tc>
          <w:tcPr>
            <w:tcW w:type="dxa" w:w="2448"/>
            <w:vAlign w:val="top"/>
          </w:tcPr>
          <w:p>
            <w:r/>
            <w:r>
              <w:rPr>
                <w:b w:val="0"/>
                <w:sz w:val="16"/>
              </w:rPr>
              <w:t>No</w:t>
            </w:r>
          </w:p>
        </w:tc>
      </w:tr>
      <w:tr>
        <w:trPr>
          <w:cantSplit/>
        </w:trPr>
        <w:tc>
          <w:tcPr>
            <w:tcW w:type="dxa" w:w="4032"/>
            <w:vAlign w:val="top"/>
          </w:tcPr>
          <w:p>
            <w:r/>
            <w:r>
              <w:rPr>
                <w:b w:val="0"/>
                <w:sz w:val="16"/>
              </w:rPr>
              <w:t>Directional significant coarse-product loss linked</w:t>
            </w:r>
          </w:p>
        </w:tc>
        <w:tc>
          <w:tcPr>
            <w:tcW w:type="dxa" w:w="2160"/>
            <w:vAlign w:val="top"/>
          </w:tcPr>
          <w:p>
            <w:r/>
            <w:r>
              <w:rPr>
                <w:b w:val="0"/>
                <w:sz w:val="16"/>
              </w:rPr>
              <w:t>Strongly supported</w:t>
            </w:r>
          </w:p>
        </w:tc>
        <w:tc>
          <w:tcPr>
            <w:tcW w:type="dxa" w:w="2448"/>
            <w:vAlign w:val="top"/>
          </w:tcPr>
          <w:p>
            <w:r/>
            <w:r>
              <w:rPr>
                <w:b w:val="0"/>
                <w:sz w:val="16"/>
              </w:rPr>
              <w:t>Not established</w:t>
            </w:r>
          </w:p>
        </w:tc>
      </w:tr>
      <w:tr>
        <w:trPr>
          <w:cantSplit/>
        </w:trPr>
        <w:tc>
          <w:tcPr>
            <w:tcW w:type="dxa" w:w="4032"/>
            <w:vAlign w:val="top"/>
          </w:tcPr>
          <w:p>
            <w:r/>
            <w:r>
              <w:rPr>
                <w:b w:val="0"/>
                <w:sz w:val="16"/>
              </w:rPr>
              <w:t>Close-out</w:t>
            </w:r>
          </w:p>
        </w:tc>
        <w:tc>
          <w:tcPr>
            <w:tcW w:type="dxa" w:w="2160"/>
            <w:vAlign w:val="top"/>
          </w:tcPr>
          <w:p>
            <w:r/>
            <w:r>
              <w:rPr>
                <w:b w:val="0"/>
                <w:sz w:val="16"/>
              </w:rPr>
              <w:t>Measure, correct, prove full-travel tracking</w:t>
            </w:r>
          </w:p>
        </w:tc>
        <w:tc>
          <w:tcPr>
            <w:tcW w:type="dxa" w:w="2448"/>
            <w:vAlign w:val="top"/>
          </w:tcPr>
          <w:p>
            <w:r/>
            <w:r>
              <w:rPr>
                <w:b w:val="0"/>
                <w:sz w:val="16"/>
              </w:rPr>
              <w:t>Measure, correct/disposition, observe live tracking and local consequence</w:t>
            </w:r>
          </w:p>
        </w:tc>
      </w:tr>
    </w:tbl>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PART VII — WATER, WET FINES AND STRUCTURAL CONSEQUENCES</w:t>
            </w:r>
          </w:p>
        </w:tc>
      </w:tr>
    </w:tbl>
    <w:p>
      <w:pPr>
        <w:pStyle w:val="Heading1"/>
        <w:keepNext/>
      </w:pPr>
      <w:r>
        <w:rPr>
          <w:rFonts w:ascii="Arial" w:hAnsi="Arial"/>
          <w:b/>
        </w:rPr>
        <w:t>17 Water as a Material-Transport and Deterioration Mechanism</w:t>
      </w:r>
    </w:p>
    <w:p>
      <w:pPr>
        <w:pStyle w:val="BodyText"/>
        <w:keepLines w:val="0"/>
        <w:spacing w:after="80" w:line="252" w:lineRule="auto"/>
      </w:pPr>
      <w:r>
        <w:t>Water introduces a different containment problem. When process or cleaning water escapes the intended envelope it can mobilise fines, create slurry, spread contamination away from its source, increase slip/housekeeping burden and repeatedly wet surrounding equipment and structures. The report does not assume that all wet deposits share the same water source.</w:t>
      </w:r>
    </w:p>
    <w:p>
      <w:pPr>
        <w:pStyle w:val="BodyText"/>
        <w:keepLines w:val="0"/>
        <w:spacing w:after="80" w:line="252" w:lineRule="auto"/>
      </w:pPr>
      <w:r>
        <w:t>The evidence therefore separates directly verified active process-water escape from locations where water or wet fines are visible but the initiating source is unresolved. Water containment and structural condition are also kept as related but separate workstreams: repeated wetting may be relevant to deterioration, but the photographs do not prove water as the cause of every structural defect.</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3251"/>
        <w:gridCol w:w="3251"/>
        <w:gridCol w:w="3251"/>
      </w:tblGrid>
      <w:tr>
        <w:trPr>
          <w:cantSplit/>
          <w:cantSplit/>
        </w:trPr>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4148567"/>
                  <wp:docPr id="34" name="Picture 34"/>
                  <wp:cNvGraphicFramePr>
                    <a:graphicFrameLocks noChangeAspect="1"/>
                  </wp:cNvGraphicFramePr>
                  <a:graphic>
                    <a:graphicData uri="http://schemas.openxmlformats.org/drawingml/2006/picture">
                      <pic:pic>
                        <pic:nvPicPr>
                          <pic:cNvPr id="0" name="CV01-REF-003.jpg"/>
                          <pic:cNvPicPr/>
                        </pic:nvPicPr>
                        <pic:blipFill>
                          <a:blip r:embed="rId43"/>
                          <a:stretch>
                            <a:fillRect/>
                          </a:stretch>
                        </pic:blipFill>
                        <pic:spPr>
                          <a:xfrm>
                            <a:off x="0" y="0"/>
                            <a:ext cx="1965960" cy="4148567"/>
                          </a:xfrm>
                          <a:prstGeom prst="rect"/>
                        </pic:spPr>
                      </pic:pic>
                    </a:graphicData>
                  </a:graphic>
                </wp:inline>
              </w:drawing>
            </w:r>
          </w:p>
          <w:p>
            <w:pPr>
              <w:keepLines/>
              <w:spacing w:after="0"/>
              <w:jc w:val="center"/>
            </w:pPr>
            <w:r>
              <w:rPr>
                <w:rFonts w:ascii="Arial" w:hAnsi="Arial"/>
                <w:b/>
                <w:color w:val="404040"/>
                <w:sz w:val="14"/>
              </w:rPr>
              <w:t>CV01-REF-003 — principal wet-fines/slurry consequence with pooled water/slurry; exact water source unresolved.</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929462"/>
                  <wp:docPr id="35" name="Picture 35"/>
                  <wp:cNvGraphicFramePr>
                    <a:graphicFrameLocks noChangeAspect="1"/>
                  </wp:cNvGraphicFramePr>
                  <a:graphic>
                    <a:graphicData uri="http://schemas.openxmlformats.org/drawingml/2006/picture">
                      <pic:pic>
                        <pic:nvPicPr>
                          <pic:cNvPr id="0" name="CV04-REF-002.jpg"/>
                          <pic:cNvPicPr/>
                        </pic:nvPicPr>
                        <pic:blipFill>
                          <a:blip r:embed="rId14"/>
                          <a:stretch>
                            <a:fillRect/>
                          </a:stretch>
                        </pic:blipFill>
                        <pic:spPr>
                          <a:xfrm>
                            <a:off x="0" y="0"/>
                            <a:ext cx="1965960" cy="929462"/>
                          </a:xfrm>
                          <a:prstGeom prst="rect"/>
                        </pic:spPr>
                      </pic:pic>
                    </a:graphicData>
                  </a:graphic>
                </wp:inline>
              </w:drawing>
            </w:r>
          </w:p>
          <w:p>
            <w:pPr>
              <w:keepLines/>
              <w:spacing w:after="0"/>
              <w:jc w:val="center"/>
            </w:pPr>
            <w:r>
              <w:rPr>
                <w:rFonts w:ascii="Arial" w:hAnsi="Arial"/>
                <w:b/>
                <w:color w:val="404040"/>
                <w:sz w:val="14"/>
              </w:rPr>
              <w:t>CV04-REF-002 — saturated wet-fines/slurry with visible wet fallout/droplets.</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929462"/>
                  <wp:docPr id="36" name="Picture 36"/>
                  <wp:cNvGraphicFramePr>
                    <a:graphicFrameLocks noChangeAspect="1"/>
                  </wp:cNvGraphicFramePr>
                  <a:graphic>
                    <a:graphicData uri="http://schemas.openxmlformats.org/drawingml/2006/picture">
                      <pic:pic>
                        <pic:nvPicPr>
                          <pic:cNvPr id="0" name="CV04-REF-005.jpg"/>
                          <pic:cNvPicPr/>
                        </pic:nvPicPr>
                        <pic:blipFill>
                          <a:blip r:embed="rId44"/>
                          <a:stretch>
                            <a:fillRect/>
                          </a:stretch>
                        </pic:blipFill>
                        <pic:spPr>
                          <a:xfrm>
                            <a:off x="0" y="0"/>
                            <a:ext cx="1965960" cy="929462"/>
                          </a:xfrm>
                          <a:prstGeom prst="rect"/>
                        </pic:spPr>
                      </pic:pic>
                    </a:graphicData>
                  </a:graphic>
                </wp:inline>
              </w:drawing>
            </w:r>
          </w:p>
          <w:p>
            <w:pPr>
              <w:keepLines/>
              <w:spacing w:after="0"/>
              <w:jc w:val="center"/>
            </w:pPr>
            <w:r>
              <w:rPr>
                <w:rFonts w:ascii="Arial" w:hAnsi="Arial"/>
                <w:b/>
                <w:color w:val="404040"/>
                <w:sz w:val="14"/>
              </w:rPr>
              <w:t>CV04-REF-005 — wider extent of multiple fines piles supporting the widespread CV04 condition.</w:t>
            </w:r>
          </w:p>
        </w:tc>
      </w:tr>
    </w:tbl>
    <w:p>
      <w:pPr>
        <w:pStyle w:val="Heading1"/>
        <w:keepNext/>
      </w:pPr>
      <w:r>
        <w:rPr>
          <w:rFonts w:ascii="Arial" w:hAnsi="Arial"/>
          <w:b/>
        </w:rPr>
        <w:t>18 Screens — Confirmed Water Escape / Separate Structural Story</w:t>
      </w:r>
    </w:p>
    <w:p>
      <w:pPr>
        <w:pStyle w:val="BodyText"/>
        <w:keepLines w:val="0"/>
        <w:spacing w:after="80" w:line="252" w:lineRule="auto"/>
      </w:pPr>
      <w:r>
        <w:t>The Screens evidence contains three related but distinct stories: active process-water loss of containment, severe corrosion/deterioration, and physical cut/notched support members. Active water escape is directly verified dynamically; the equipment-level escape path remains unresolved and should be established through safe shutdown inspection before detailed modification.</w:t>
      </w:r>
    </w:p>
    <w:p>
      <w:pPr>
        <w:pStyle w:val="BodyText"/>
        <w:keepLines w:val="0"/>
        <w:spacing w:after="80" w:line="252" w:lineRule="auto"/>
      </w:pPr>
      <w:r>
        <w:t>The structural condition requires a separate competent assessment. The reason for the cut/notched supports is not established by the evidence, and remaining structural capacity cannot be determined photographically. Member dimensions, notch/cut geometry, section loss, connection condition and capacity/repair disposition must therefore be established by the responsible structural authority.</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37" name="Picture 37"/>
                  <wp:cNvGraphicFramePr>
                    <a:graphicFrameLocks noChangeAspect="1"/>
                  </wp:cNvGraphicFramePr>
                  <a:graphic>
                    <a:graphicData uri="http://schemas.openxmlformats.org/drawingml/2006/picture">
                      <pic:pic>
                        <pic:nvPicPr>
                          <pic:cNvPr id="0" name="Screen-REF-003.jpg"/>
                          <pic:cNvPicPr/>
                        </pic:nvPicPr>
                        <pic:blipFill>
                          <a:blip r:embed="rId45"/>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Screen-REF-003 — wider screen/chute orientation and structural zone.</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3264"/>
                  <wp:docPr id="38" name="Picture 38"/>
                  <wp:cNvGraphicFramePr>
                    <a:graphicFrameLocks noChangeAspect="1"/>
                  </wp:cNvGraphicFramePr>
                  <a:graphic>
                    <a:graphicData uri="http://schemas.openxmlformats.org/drawingml/2006/picture">
                      <pic:pic>
                        <pic:nvPicPr>
                          <pic:cNvPr id="0" name="Screen-REF-016_frame.jpg"/>
                          <pic:cNvPicPr/>
                        </pic:nvPicPr>
                        <pic:blipFill>
                          <a:blip r:embed="rId46"/>
                          <a:stretch>
                            <a:fillRect/>
                          </a:stretch>
                        </pic:blipFill>
                        <pic:spPr>
                          <a:xfrm>
                            <a:off x="0" y="0"/>
                            <a:ext cx="3017520" cy="1423264"/>
                          </a:xfrm>
                          <a:prstGeom prst="rect"/>
                        </pic:spPr>
                      </pic:pic>
                    </a:graphicData>
                  </a:graphic>
                </wp:inline>
              </w:drawing>
            </w:r>
          </w:p>
          <w:p>
            <w:pPr>
              <w:keepLines/>
              <w:spacing w:after="0"/>
              <w:jc w:val="center"/>
            </w:pPr>
            <w:r>
              <w:rPr>
                <w:rFonts w:ascii="Arial" w:hAnsi="Arial"/>
                <w:b/>
                <w:color w:val="404040"/>
                <w:sz w:val="15"/>
              </w:rPr>
              <w:t>Screen-REF-016 — representative frame from inspection video showing active water spray/droplets escaping containment.</w:t>
            </w:r>
          </w:p>
        </w:tc>
      </w:tr>
    </w:tbl>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39" name="Picture 39"/>
                  <wp:cNvGraphicFramePr>
                    <a:graphicFrameLocks noChangeAspect="1"/>
                  </wp:cNvGraphicFramePr>
                  <a:graphic>
                    <a:graphicData uri="http://schemas.openxmlformats.org/drawingml/2006/picture">
                      <pic:pic>
                        <pic:nvPicPr>
                          <pic:cNvPr id="0" name="Screen-REF-004.jpg"/>
                          <pic:cNvPicPr/>
                        </pic:nvPicPr>
                        <pic:blipFill>
                          <a:blip r:embed="rId47"/>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Screen-REF-004 — principal close corrosion/deterioration evidence.</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3264"/>
                  <wp:docPr id="40" name="Picture 40"/>
                  <wp:cNvGraphicFramePr>
                    <a:graphicFrameLocks noChangeAspect="1"/>
                  </wp:cNvGraphicFramePr>
                  <a:graphic>
                    <a:graphicData uri="http://schemas.openxmlformats.org/drawingml/2006/picture">
                      <pic:pic>
                        <pic:nvPicPr>
                          <pic:cNvPr id="0" name="Screen-REF-017_frame.jpg"/>
                          <pic:cNvPicPr/>
                        </pic:nvPicPr>
                        <pic:blipFill>
                          <a:blip r:embed="rId48"/>
                          <a:stretch>
                            <a:fillRect/>
                          </a:stretch>
                        </pic:blipFill>
                        <pic:spPr>
                          <a:xfrm>
                            <a:off x="0" y="0"/>
                            <a:ext cx="3017520" cy="1423264"/>
                          </a:xfrm>
                          <a:prstGeom prst="rect"/>
                        </pic:spPr>
                      </pic:pic>
                    </a:graphicData>
                  </a:graphic>
                </wp:inline>
              </w:drawing>
            </w:r>
          </w:p>
          <w:p>
            <w:pPr>
              <w:keepLines/>
              <w:spacing w:after="0"/>
              <w:jc w:val="center"/>
            </w:pPr>
            <w:r>
              <w:rPr>
                <w:rFonts w:ascii="Arial" w:hAnsi="Arial"/>
                <w:b/>
                <w:color w:val="404040"/>
                <w:sz w:val="15"/>
              </w:rPr>
              <w:t>Screen-REF-017 — representative frame from inspection video showing wider substantial water spray/runoff and repeated wetting.</w:t>
            </w:r>
          </w:p>
        </w:tc>
      </w:tr>
      <w:tr>
        <w:trPr>
          <w:cantSplit/>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6382533"/>
                  <wp:docPr id="41" name="Picture 41"/>
                  <wp:cNvGraphicFramePr>
                    <a:graphicFrameLocks noChangeAspect="1"/>
                  </wp:cNvGraphicFramePr>
                  <a:graphic>
                    <a:graphicData uri="http://schemas.openxmlformats.org/drawingml/2006/picture">
                      <pic:pic>
                        <pic:nvPicPr>
                          <pic:cNvPr id="0" name="Screen-REF-006.jpg"/>
                          <pic:cNvPicPr/>
                        </pic:nvPicPr>
                        <pic:blipFill>
                          <a:blip r:embed="rId49"/>
                          <a:stretch>
                            <a:fillRect/>
                          </a:stretch>
                        </pic:blipFill>
                        <pic:spPr>
                          <a:xfrm>
                            <a:off x="0" y="0"/>
                            <a:ext cx="3017520" cy="6382533"/>
                          </a:xfrm>
                          <a:prstGeom prst="rect"/>
                        </pic:spPr>
                      </pic:pic>
                    </a:graphicData>
                  </a:graphic>
                </wp:inline>
              </w:drawing>
            </w:r>
          </w:p>
          <w:p>
            <w:pPr>
              <w:keepLines/>
              <w:spacing w:after="0"/>
              <w:jc w:val="center"/>
            </w:pPr>
            <w:r>
              <w:rPr>
                <w:rFonts w:ascii="Arial" w:hAnsi="Arial"/>
                <w:b/>
                <w:color w:val="404040"/>
                <w:sz w:val="15"/>
              </w:rPr>
              <w:t>Screen-REF-006 — multiple support-member cut-outs/notches.</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6382533"/>
                  <wp:docPr id="42" name="Picture 42"/>
                  <wp:cNvGraphicFramePr>
                    <a:graphicFrameLocks noChangeAspect="1"/>
                  </wp:cNvGraphicFramePr>
                  <a:graphic>
                    <a:graphicData uri="http://schemas.openxmlformats.org/drawingml/2006/picture">
                      <pic:pic>
                        <pic:nvPicPr>
                          <pic:cNvPr id="0" name="Screen-REF-010.jpg"/>
                          <pic:cNvPicPr/>
                        </pic:nvPicPr>
                        <pic:blipFill>
                          <a:blip r:embed="rId50"/>
                          <a:stretch>
                            <a:fillRect/>
                          </a:stretch>
                        </pic:blipFill>
                        <pic:spPr>
                          <a:xfrm>
                            <a:off x="0" y="0"/>
                            <a:ext cx="3017520" cy="6382533"/>
                          </a:xfrm>
                          <a:prstGeom prst="rect"/>
                        </pic:spPr>
                      </pic:pic>
                    </a:graphicData>
                  </a:graphic>
                </wp:inline>
              </w:drawing>
            </w:r>
          </w:p>
          <w:p>
            <w:pPr>
              <w:keepLines/>
              <w:spacing w:after="0"/>
              <w:jc w:val="center"/>
            </w:pPr>
            <w:r>
              <w:rPr>
                <w:rFonts w:ascii="Arial" w:hAnsi="Arial"/>
                <w:b/>
                <w:color w:val="404040"/>
                <w:sz w:val="15"/>
              </w:rPr>
              <w:t>Screen-REF-010 — close evidence of a substantial support-member cut-out.</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Active water escape is directly verified. Severe corrosion/deterioration and physical support-member cut-outs are also directly visible.</w:t>
            </w:r>
          </w:p>
        </w:tc>
      </w:tr>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The equipment-level water source/escape mechanism remains unresolved. The reason for the cut-outs and the remaining structural capacity are not established. Water should not be asserted as the cause of every structural defect.</w:t>
            </w:r>
          </w:p>
        </w:tc>
      </w:tr>
      <w:tr>
        <w:trPr>
          <w:cantSplit/>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Complete a safe shutdown inspection to identify the water escape mechanism and perform a formal structural assessment of the affected support members, including the cut/notched and corroded sections.</w:t>
            </w:r>
          </w:p>
        </w:tc>
      </w:tr>
    </w:tbl>
    <w:p>
      <w:pPr>
        <w:pStyle w:val="Heading1"/>
        <w:keepNext/>
      </w:pPr>
      <w:r>
        <w:rPr>
          <w:rFonts w:ascii="Arial" w:hAnsi="Arial"/>
          <w:b/>
        </w:rPr>
        <w:t>19 L1 — Spillage, Historical Belt Contact and Structural Deterioration</w:t>
      </w:r>
    </w:p>
    <w:p>
      <w:pPr>
        <w:pStyle w:val="BodyText"/>
        <w:keepLines w:val="0"/>
        <w:spacing w:after="80" w:line="252" w:lineRule="auto"/>
      </w:pPr>
      <w:r>
        <w:t>L1 similarly contains several connected but analytically separate findings: extensive material/fines accumulation, physical evidence of previous/intermittent belt-to-structure contact, severe concrete deterioration/spalling with exposed reinforcement, and severe local steel deterioration/section loss at more than one support location.</w:t>
      </w:r>
    </w:p>
    <w:p>
      <w:pPr>
        <w:pStyle w:val="BodyText"/>
      </w:pPr>
      <w:r>
        <w:t>The captured running belt is clear of the worn supports at the photographed instant; continuous present contact is therefore not proven. Close-out requires a competent structural assessment together with representative tracking/clearance verification and reduction of recurring fines/moisture exposure around repaired interfaces.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9752"/>
      </w:tblGrid>
      <w:tr>
        <w:trPr>
          <w:cantSplit/>
          <w:cantSplit/>
        </w:trPr>
        <w:tc>
          <w:tcPr>
            <w:tcW w:type="dxa" w:w="9752"/>
            <w:shd w:fill="FAFAFA"/>
            <w:tcMar>
              <w:top w:w="60" w:type="dxa"/>
              <w:start w:w="60" w:type="dxa"/>
              <w:bottom w:w="60" w:type="dxa"/>
              <w:end w:w="60" w:type="dxa"/>
            </w:tcMar>
          </w:tcPr>
          <w:p>
            <w:pPr>
              <w:keepLines/>
              <w:jc w:val="center"/>
            </w:pPr>
            <w:r/>
            <w:r>
              <w:drawing>
                <wp:inline xmlns:a="http://schemas.openxmlformats.org/drawingml/2006/main" xmlns:pic="http://schemas.openxmlformats.org/drawingml/2006/picture">
                  <wp:extent cx="5989320" cy="2838272"/>
                  <wp:docPr id="43" name="Picture 43"/>
                  <wp:cNvGraphicFramePr>
                    <a:graphicFrameLocks noChangeAspect="1"/>
                  </wp:cNvGraphicFramePr>
                  <a:graphic>
                    <a:graphicData uri="http://schemas.openxmlformats.org/drawingml/2006/picture">
                      <pic:pic>
                        <pic:nvPicPr>
                          <pic:cNvPr id="0" name="LoadoutStationL1-REF-013.jpg"/>
                          <pic:cNvPicPr/>
                        </pic:nvPicPr>
                        <pic:blipFill>
                          <a:blip r:embed="rId51"/>
                          <a:stretch>
                            <a:fillRect/>
                          </a:stretch>
                        </pic:blipFill>
                        <pic:spPr>
                          <a:xfrm>
                            <a:off x="0" y="0"/>
                            <a:ext cx="5989320" cy="2838272"/>
                          </a:xfrm>
                          <a:prstGeom prst="rect"/>
                        </pic:spPr>
                      </pic:pic>
                    </a:graphicData>
                  </a:graphic>
                </wp:inline>
              </w:drawing>
            </w:r>
          </w:p>
          <w:p>
            <w:pPr>
              <w:keepLines/>
              <w:jc w:val="center"/>
            </w:pPr>
            <w:r>
              <w:rPr>
                <w:rFonts w:ascii="Arial" w:hAnsi="Arial"/>
                <w:b/>
                <w:color w:val="404040"/>
                <w:sz w:val="15"/>
              </w:rPr>
              <w:t>LoadoutStationL1-REF-013 — principal evidence of extensive long-term material/fines accumulation along the L1 conveyor zone.</w:t>
            </w:r>
          </w:p>
        </w:tc>
      </w:tr>
    </w:tbl>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3251"/>
        <w:gridCol w:w="3251"/>
        <w:gridCol w:w="3251"/>
      </w:tblGrid>
      <w:tr>
        <w:trPr>
          <w:cantSplit/>
          <w:cantSplit/>
        </w:trPr>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931647"/>
                  <wp:docPr id="44" name="Picture 44"/>
                  <wp:cNvGraphicFramePr>
                    <a:graphicFrameLocks noChangeAspect="1"/>
                  </wp:cNvGraphicFramePr>
                  <a:graphic>
                    <a:graphicData uri="http://schemas.openxmlformats.org/drawingml/2006/picture">
                      <pic:pic>
                        <pic:nvPicPr>
                          <pic:cNvPr id="0" name="LoadoutStationL1-REF-007.jpg"/>
                          <pic:cNvPicPr/>
                        </pic:nvPicPr>
                        <pic:blipFill>
                          <a:blip r:embed="rId52"/>
                          <a:stretch>
                            <a:fillRect/>
                          </a:stretch>
                        </pic:blipFill>
                        <pic:spPr>
                          <a:xfrm>
                            <a:off x="0" y="0"/>
                            <a:ext cx="1965960" cy="931647"/>
                          </a:xfrm>
                          <a:prstGeom prst="rect"/>
                        </pic:spPr>
                      </pic:pic>
                    </a:graphicData>
                  </a:graphic>
                </wp:inline>
              </w:drawing>
            </w:r>
          </w:p>
          <w:p>
            <w:pPr>
              <w:keepLines/>
              <w:spacing w:after="0"/>
              <w:jc w:val="center"/>
            </w:pPr>
            <w:r>
              <w:rPr>
                <w:rFonts w:ascii="Arial" w:hAnsi="Arial"/>
                <w:b/>
                <w:color w:val="404040"/>
                <w:sz w:val="13"/>
              </w:rPr>
              <w:t>LoadoutStationL1-REF-007 — historical wear slots beside a currently clear running belt; establishes prior/intermittent contact without proving continuous present contact.</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929462"/>
                  <wp:docPr id="45" name="Picture 45"/>
                  <wp:cNvGraphicFramePr>
                    <a:graphicFrameLocks noChangeAspect="1"/>
                  </wp:cNvGraphicFramePr>
                  <a:graphic>
                    <a:graphicData uri="http://schemas.openxmlformats.org/drawingml/2006/picture">
                      <pic:pic>
                        <pic:nvPicPr>
                          <pic:cNvPr id="0" name="LoadoutStationL1-REF-004.jpg"/>
                          <pic:cNvPicPr/>
                        </pic:nvPicPr>
                        <pic:blipFill>
                          <a:blip r:embed="rId53"/>
                          <a:stretch>
                            <a:fillRect/>
                          </a:stretch>
                        </pic:blipFill>
                        <pic:spPr>
                          <a:xfrm>
                            <a:off x="0" y="0"/>
                            <a:ext cx="1965960" cy="929462"/>
                          </a:xfrm>
                          <a:prstGeom prst="rect"/>
                        </pic:spPr>
                      </pic:pic>
                    </a:graphicData>
                  </a:graphic>
                </wp:inline>
              </w:drawing>
            </w:r>
          </w:p>
          <w:p>
            <w:pPr>
              <w:keepLines/>
              <w:spacing w:after="0"/>
              <w:jc w:val="center"/>
            </w:pPr>
            <w:r>
              <w:rPr>
                <w:rFonts w:ascii="Arial" w:hAnsi="Arial"/>
                <w:b/>
                <w:color w:val="404040"/>
                <w:sz w:val="13"/>
              </w:rPr>
              <w:t>LoadoutStationL1-REF-004 — location/context for concrete deterioration.</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929462"/>
                  <wp:docPr id="46" name="Picture 46"/>
                  <wp:cNvGraphicFramePr>
                    <a:graphicFrameLocks noChangeAspect="1"/>
                  </wp:cNvGraphicFramePr>
                  <a:graphic>
                    <a:graphicData uri="http://schemas.openxmlformats.org/drawingml/2006/picture">
                      <pic:pic>
                        <pic:nvPicPr>
                          <pic:cNvPr id="0" name="LoadoutStationL1-REF-005.jpg"/>
                          <pic:cNvPicPr/>
                        </pic:nvPicPr>
                        <pic:blipFill>
                          <a:blip r:embed="rId54"/>
                          <a:stretch>
                            <a:fillRect/>
                          </a:stretch>
                        </pic:blipFill>
                        <pic:spPr>
                          <a:xfrm>
                            <a:off x="0" y="0"/>
                            <a:ext cx="1965960" cy="929462"/>
                          </a:xfrm>
                          <a:prstGeom prst="rect"/>
                        </pic:spPr>
                      </pic:pic>
                    </a:graphicData>
                  </a:graphic>
                </wp:inline>
              </w:drawing>
            </w:r>
          </w:p>
          <w:p>
            <w:pPr>
              <w:keepLines/>
              <w:spacing w:after="0"/>
              <w:jc w:val="center"/>
            </w:pPr>
            <w:r>
              <w:rPr>
                <w:rFonts w:ascii="Arial" w:hAnsi="Arial"/>
                <w:b/>
                <w:color w:val="404040"/>
                <w:sz w:val="13"/>
              </w:rPr>
              <w:t>LoadoutStationL1-REF-005 — close severity of concrete loss and exposed reinforcement.</w:t>
            </w:r>
          </w:p>
        </w:tc>
      </w:tr>
    </w:tbl>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3251"/>
        <w:gridCol w:w="3251"/>
        <w:gridCol w:w="3251"/>
      </w:tblGrid>
      <w:tr>
        <w:trPr>
          <w:cantSplit/>
          <w:cantSplit/>
        </w:trPr>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4158317"/>
                  <wp:docPr id="47" name="Picture 47"/>
                  <wp:cNvGraphicFramePr>
                    <a:graphicFrameLocks noChangeAspect="1"/>
                  </wp:cNvGraphicFramePr>
                  <a:graphic>
                    <a:graphicData uri="http://schemas.openxmlformats.org/drawingml/2006/picture">
                      <pic:pic>
                        <pic:nvPicPr>
                          <pic:cNvPr id="0" name="LoadoutStationL1-REF-008.jpg"/>
                          <pic:cNvPicPr/>
                        </pic:nvPicPr>
                        <pic:blipFill>
                          <a:blip r:embed="rId55"/>
                          <a:stretch>
                            <a:fillRect/>
                          </a:stretch>
                        </pic:blipFill>
                        <pic:spPr>
                          <a:xfrm>
                            <a:off x="0" y="0"/>
                            <a:ext cx="1965960" cy="4158317"/>
                          </a:xfrm>
                          <a:prstGeom prst="rect"/>
                        </pic:spPr>
                      </pic:pic>
                    </a:graphicData>
                  </a:graphic>
                </wp:inline>
              </w:drawing>
            </w:r>
          </w:p>
          <w:p>
            <w:pPr>
              <w:keepLines/>
              <w:spacing w:after="0"/>
              <w:jc w:val="center"/>
            </w:pPr>
            <w:r>
              <w:rPr>
                <w:rFonts w:ascii="Arial" w:hAnsi="Arial"/>
                <w:b/>
                <w:color w:val="404040"/>
                <w:sz w:val="13"/>
              </w:rPr>
              <w:t>LoadoutStationL1-REF-008 — severe steel deterioration at one conveyor support location.</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4158317"/>
                  <wp:docPr id="48" name="Picture 48"/>
                  <wp:cNvGraphicFramePr>
                    <a:graphicFrameLocks noChangeAspect="1"/>
                  </wp:cNvGraphicFramePr>
                  <a:graphic>
                    <a:graphicData uri="http://schemas.openxmlformats.org/drawingml/2006/picture">
                      <pic:pic>
                        <pic:nvPicPr>
                          <pic:cNvPr id="0" name="LoadoutStationL1-REF-009.jpg"/>
                          <pic:cNvPicPr/>
                        </pic:nvPicPr>
                        <pic:blipFill>
                          <a:blip r:embed="rId56"/>
                          <a:stretch>
                            <a:fillRect/>
                          </a:stretch>
                        </pic:blipFill>
                        <pic:spPr>
                          <a:xfrm>
                            <a:off x="0" y="0"/>
                            <a:ext cx="1965960" cy="4158317"/>
                          </a:xfrm>
                          <a:prstGeom prst="rect"/>
                        </pic:spPr>
                      </pic:pic>
                    </a:graphicData>
                  </a:graphic>
                </wp:inline>
              </w:drawing>
            </w:r>
          </w:p>
          <w:p>
            <w:pPr>
              <w:keepLines/>
              <w:spacing w:after="0"/>
              <w:jc w:val="center"/>
            </w:pPr>
            <w:r>
              <w:rPr>
                <w:rFonts w:ascii="Arial" w:hAnsi="Arial"/>
                <w:b/>
                <w:color w:val="404040"/>
                <w:sz w:val="13"/>
              </w:rPr>
              <w:t>LoadoutStationL1-REF-009 — deterioration at a separate adjacent support location.</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4158317"/>
                  <wp:docPr id="49" name="Picture 49"/>
                  <wp:cNvGraphicFramePr>
                    <a:graphicFrameLocks noChangeAspect="1"/>
                  </wp:cNvGraphicFramePr>
                  <a:graphic>
                    <a:graphicData uri="http://schemas.openxmlformats.org/drawingml/2006/picture">
                      <pic:pic>
                        <pic:nvPicPr>
                          <pic:cNvPr id="0" name="LoadoutStationL1-REF-012.jpg"/>
                          <pic:cNvPicPr/>
                        </pic:nvPicPr>
                        <pic:blipFill>
                          <a:blip r:embed="rId57"/>
                          <a:stretch>
                            <a:fillRect/>
                          </a:stretch>
                        </pic:blipFill>
                        <pic:spPr>
                          <a:xfrm>
                            <a:off x="0" y="0"/>
                            <a:ext cx="1965960" cy="4158317"/>
                          </a:xfrm>
                          <a:prstGeom prst="rect"/>
                        </pic:spPr>
                      </pic:pic>
                    </a:graphicData>
                  </a:graphic>
                </wp:inline>
              </w:drawing>
            </w:r>
          </w:p>
          <w:p>
            <w:pPr>
              <w:keepLines/>
              <w:spacing w:after="0"/>
              <w:jc w:val="center"/>
            </w:pPr>
            <w:r>
              <w:rPr>
                <w:rFonts w:ascii="Arial" w:hAnsi="Arial"/>
                <w:b/>
                <w:color w:val="404040"/>
                <w:sz w:val="13"/>
              </w:rPr>
              <w:t>LoadoutStationL1-REF-012 — accumulation at a separate nearby location supporting spatial persistence.</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Widespread accumulation, previous/intermittent belt contact evidence, concrete deterioration and multi-location steel deterioration are directly supported.</w:t>
            </w:r>
          </w:p>
        </w:tc>
      </w:tr>
      <w:tr>
        <w:trPr>
          <w:cantSplit/>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The captured running belt is clear of the worn supports, so continuous current contact is not proven. Mistracking is a probable historical mechanism for contact, while remaining structural capacity cannot be determined from photographs.</w:t>
            </w:r>
          </w:p>
        </w:tc>
      </w:tr>
      <w:tr>
        <w:trPr>
          <w:cantSplit/>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Continue/verify tracking control; commission formal structural assessment and repair/replacement definition for the affected concrete and steel; reduce recurring product/moisture accumulation around the structure.</w:t>
            </w:r>
          </w:p>
        </w:tc>
      </w:tr>
    </w:tbl>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PART VIII — EVENT-DRIVEN AND OPERATIONAL SPILLAGE</w:t>
            </w:r>
          </w:p>
        </w:tc>
      </w:tr>
    </w:tbl>
    <w:p>
      <w:pPr>
        <w:pStyle w:val="Heading1"/>
        <w:keepNext/>
      </w:pPr>
      <w:r>
        <w:rPr>
          <w:rFonts w:ascii="Arial" w:hAnsi="Arial"/>
          <w:b/>
        </w:rPr>
        <w:t>20 Trips, Restart and Manual Product Removal</w:t>
      </w:r>
    </w:p>
    <w:p>
      <w:pPr>
        <w:pStyle w:val="BodyText"/>
        <w:keepLines w:val="0"/>
        <w:spacing w:after="80" w:line="252" w:lineRule="auto"/>
      </w:pPr>
      <w:r>
        <w:t>Not every deposit beside a conveyor is evidence of a chronic mechanical or containment failure at that location. A trip, blockage or restart intervention can leave a loaded belt that must be partially cleared before safe restart; material deliberately removed during that intervention is an event-driven secondary deposit and should be controlled and recorded separately from recurring source-generated spillage.</w:t>
      </w:r>
    </w:p>
    <w:p>
      <w:pPr>
        <w:pStyle w:val="BodyText"/>
        <w:keepLines w:val="0"/>
        <w:spacing w:after="80" w:line="252" w:lineRule="auto"/>
      </w:pPr>
      <w:r>
        <w:t>The required control is procedural: confirm the actual written trip/restart unloading practice, authorised responsibility, temporary placement/containment arrangement, recovery or reintroduction route, and the distinction between event-driven deposits and chronic mechanically generated spillage. The report does not invent a South32 procedure where the applicable site instruction has not yet been verified.</w:t>
      </w:r>
    </w:p>
    <w:p>
      <w:pPr>
        <w:pStyle w:val="Heading1"/>
        <w:keepNext/>
      </w:pPr>
      <w:r>
        <w:rPr>
          <w:rFonts w:ascii="Arial" w:hAnsi="Arial"/>
          <w:b/>
        </w:rPr>
        <w:t>21 Housekeeping — Necessary but Not the Primary Solution</w:t>
      </w:r>
    </w:p>
    <w:p>
      <w:pPr>
        <w:pStyle w:val="BodyText"/>
        <w:keepLines w:val="0"/>
        <w:spacing w:after="80" w:line="252" w:lineRule="auto"/>
      </w:pPr>
      <w:r>
        <w:t>Housekeeping remains necessary to maintain safe access, recover material and control consequences while engineering improvements are developed and after unavoidable events. It should not, however, be treated as evidence that the initiating mechanism has been corrected. Recurring accumulation records can also provide useful feedback on whether source-control measures are actually working.</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CONTROL PRINCIPLE</w:t>
            </w:r>
          </w:p>
        </w:tc>
        <w:tc>
          <w:tcPr>
            <w:tcW w:type="dxa" w:w="4876"/>
            <w:shd w:fill="EEF3F8"/>
            <w:tcMar>
              <w:top w:w="80" w:type="dxa"/>
              <w:start w:w="100" w:type="dxa"/>
              <w:bottom w:w="80" w:type="dxa"/>
              <w:end w:w="100" w:type="dxa"/>
            </w:tcMar>
            <w:vAlign w:val="center"/>
          </w:tcPr>
          <w:p>
            <w:pPr>
              <w:keepLines/>
            </w:pPr>
            <w:r/>
            <w:r>
              <w:rPr>
                <w:rFonts w:ascii="Arial" w:hAnsi="Arial"/>
                <w:b w:val="0"/>
                <w:color w:val="262626"/>
                <w:sz w:val="17"/>
              </w:rPr>
              <w:t>Housekeeping controls the consequence. Source control should reduce the recurrence.</w:t>
            </w:r>
          </w:p>
        </w:tc>
      </w:tr>
    </w:tbl>
    <w:p>
      <w:pPr>
        <w:pStyle w:val="BodyText"/>
        <w:keepLines w:val="0"/>
        <w:spacing w:after="80" w:line="252" w:lineRule="auto"/>
      </w:pPr>
      <w:r>
        <w:t>Housekeeping/recovery responsibilities, inspection/clearing frequency and repeat-accumulation trending should therefore support the engineering programme, particularly in restricted-access areas such as W10, while source correction remains the primary route to reducing recurrence.</w:t>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PART IX — WHAT THE COMBINED EVIDENCE MEANS</w:t>
            </w:r>
          </w:p>
        </w:tc>
      </w:tr>
    </w:tbl>
    <w:p>
      <w:pPr>
        <w:pStyle w:val="Heading1"/>
        <w:keepNext/>
      </w:pPr>
      <w:r>
        <w:rPr>
          <w:rFonts w:ascii="Arial" w:hAnsi="Arial"/>
          <w:b/>
        </w:rPr>
        <w:t>22 Consolidated Engineering Interpretation</w:t>
      </w:r>
    </w:p>
    <w:p>
      <w:pPr>
        <w:pStyle w:val="BodyText"/>
        <w:keepLines w:val="0"/>
        <w:spacing w:after="80" w:line="252" w:lineRule="auto"/>
      </w:pPr>
      <w:r>
        <w:t>Taken together, the evidence supports one higher-order conclusion: the inspected system has a material- and process-containment problem expressed through several different mechanisms, not one universal equipment defect. The common engineering objective can therefore be standardised, while the physical correction must remain mechanism- and geometry-specific.</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3251"/>
        <w:gridCol w:w="3251"/>
        <w:gridCol w:w="3251"/>
      </w:tblGrid>
      <w:tr>
        <w:trPr>
          <w:cantSplit/>
          <w:cantSplit/>
        </w:trPr>
        <w:tc>
          <w:tcPr>
            <w:tcW w:type="dxa" w:w="1944"/>
            <w:shd w:fill="DCE6F1"/>
            <w:tcMar>
              <w:top w:w="70" w:type="dxa"/>
              <w:start w:w="80" w:type="dxa"/>
              <w:bottom w:w="70" w:type="dxa"/>
              <w:end w:w="80" w:type="dxa"/>
            </w:tcMar>
          </w:tcPr>
          <w:p>
            <w:pPr>
              <w:keepLines/>
            </w:pPr>
            <w:r/>
            <w:r>
              <w:rPr>
                <w:rFonts w:ascii="Arial" w:hAnsi="Arial"/>
                <w:b/>
                <w:color w:val="17365D"/>
                <w:sz w:val="15"/>
              </w:rPr>
              <w:t>Level</w:t>
            </w:r>
          </w:p>
        </w:tc>
        <w:tc>
          <w:tcPr>
            <w:tcW w:type="dxa" w:w="4032"/>
            <w:shd w:fill="DCE6F1"/>
            <w:tcMar>
              <w:top w:w="70" w:type="dxa"/>
              <w:start w:w="80" w:type="dxa"/>
              <w:bottom w:w="70" w:type="dxa"/>
              <w:end w:w="80" w:type="dxa"/>
            </w:tcMar>
          </w:tcPr>
          <w:p>
            <w:pPr>
              <w:keepLines/>
            </w:pPr>
            <w:r/>
            <w:r>
              <w:rPr>
                <w:rFonts w:ascii="Arial" w:hAnsi="Arial"/>
                <w:b/>
                <w:color w:val="17365D"/>
                <w:sz w:val="15"/>
              </w:rPr>
              <w:t>Mechanism / condition</w:t>
            </w:r>
          </w:p>
        </w:tc>
        <w:tc>
          <w:tcPr>
            <w:tcW w:type="dxa" w:w="4680"/>
            <w:shd w:fill="DCE6F1"/>
            <w:tcMar>
              <w:top w:w="70" w:type="dxa"/>
              <w:start w:w="80" w:type="dxa"/>
              <w:bottom w:w="70" w:type="dxa"/>
              <w:end w:w="80" w:type="dxa"/>
            </w:tcMar>
          </w:tcPr>
          <w:p>
            <w:pPr>
              <w:keepLines/>
            </w:pPr>
            <w:r/>
            <w:r>
              <w:rPr>
                <w:rFonts w:ascii="Arial" w:hAnsi="Arial"/>
                <w:b/>
                <w:color w:val="17365D"/>
                <w:sz w:val="15"/>
              </w:rPr>
              <w:t>Engineering meaning</w:t>
            </w:r>
          </w:p>
        </w:tc>
      </w:tr>
      <w:tr>
        <w:trPr>
          <w:cantSplit/>
          <w:cantSplit/>
        </w:trPr>
        <w:tc>
          <w:tcPr>
            <w:tcW w:type="dxa" w:w="1944"/>
            <w:tcMar>
              <w:top w:w="65" w:type="dxa"/>
              <w:start w:w="80" w:type="dxa"/>
              <w:bottom w:w="65" w:type="dxa"/>
              <w:end w:w="80" w:type="dxa"/>
            </w:tcMar>
          </w:tcPr>
          <w:p>
            <w:pPr>
              <w:keepLines/>
            </w:pPr>
            <w:r/>
            <w:r>
              <w:rPr>
                <w:rFonts w:ascii="Arial" w:hAnsi="Arial"/>
                <w:b w:val="0"/>
                <w:color w:val="262626"/>
                <w:sz w:val="14"/>
              </w:rPr>
              <w:t>Systemic / recurring</w:t>
            </w:r>
          </w:p>
        </w:tc>
        <w:tc>
          <w:tcPr>
            <w:tcW w:type="dxa" w:w="4032"/>
            <w:tcMar>
              <w:top w:w="65" w:type="dxa"/>
              <w:start w:w="80" w:type="dxa"/>
              <w:bottom w:w="65" w:type="dxa"/>
              <w:end w:w="80" w:type="dxa"/>
            </w:tcMar>
          </w:tcPr>
          <w:p>
            <w:pPr>
              <w:keepLines/>
            </w:pPr>
            <w:r/>
            <w:r>
              <w:rPr>
                <w:rFonts w:ascii="Arial" w:hAnsi="Arial"/>
                <w:b w:val="0"/>
                <w:color w:val="262626"/>
                <w:sz w:val="14"/>
              </w:rPr>
              <w:t>Fines carryback; variable cleaner condition/effectiveness; incomplete containment of removed fines at some discharges.</w:t>
            </w:r>
          </w:p>
        </w:tc>
        <w:tc>
          <w:tcPr>
            <w:tcW w:type="dxa" w:w="4680"/>
            <w:tcMar>
              <w:top w:w="65" w:type="dxa"/>
              <w:start w:w="80" w:type="dxa"/>
              <w:bottom w:w="65" w:type="dxa"/>
              <w:end w:w="80" w:type="dxa"/>
            </w:tcMar>
          </w:tcPr>
          <w:p>
            <w:pPr>
              <w:keepLines/>
            </w:pPr>
            <w:r/>
            <w:r>
              <w:rPr>
                <w:rFonts w:ascii="Arial" w:hAnsi="Arial"/>
                <w:b w:val="0"/>
                <w:color w:val="262626"/>
                <w:sz w:val="14"/>
              </w:rPr>
              <w:t>Primary opportunity is source control at relevant discharge/cleaner locations rather than repeated downstream cleanup.</w:t>
            </w:r>
          </w:p>
        </w:tc>
      </w:tr>
      <w:tr>
        <w:trPr>
          <w:cantSplit/>
          <w:cantSplit/>
        </w:trPr>
        <w:tc>
          <w:tcPr>
            <w:tcW w:type="dxa" w:w="1944"/>
            <w:tcMar>
              <w:top w:w="65" w:type="dxa"/>
              <w:start w:w="80" w:type="dxa"/>
              <w:bottom w:w="65" w:type="dxa"/>
              <w:end w:w="80" w:type="dxa"/>
            </w:tcMar>
          </w:tcPr>
          <w:p>
            <w:pPr>
              <w:keepLines/>
            </w:pPr>
            <w:r/>
            <w:r>
              <w:rPr>
                <w:rFonts w:ascii="Arial" w:hAnsi="Arial"/>
                <w:b w:val="0"/>
                <w:color w:val="262626"/>
                <w:sz w:val="14"/>
              </w:rPr>
              <w:t>Local / geometry-specific</w:t>
            </w:r>
          </w:p>
        </w:tc>
        <w:tc>
          <w:tcPr>
            <w:tcW w:type="dxa" w:w="4032"/>
            <w:tcMar>
              <w:top w:w="65" w:type="dxa"/>
              <w:start w:w="80" w:type="dxa"/>
              <w:bottom w:w="65" w:type="dxa"/>
              <w:end w:w="80" w:type="dxa"/>
            </w:tcMar>
          </w:tcPr>
          <w:p>
            <w:pPr>
              <w:keepLines/>
            </w:pPr>
            <w:r/>
            <w:r>
              <w:rPr>
                <w:rFonts w:ascii="Arial" w:hAnsi="Arial"/>
                <w:b w:val="0"/>
                <w:color w:val="262626"/>
                <w:sz w:val="14"/>
              </w:rPr>
              <w:t>W10 coarse transit loss; Sample 2/3 limited carrying margin; Sample 3 mistracking; U4 mistracking; L3 offset.</w:t>
            </w:r>
          </w:p>
        </w:tc>
        <w:tc>
          <w:tcPr>
            <w:tcW w:type="dxa" w:w="4680"/>
            <w:tcMar>
              <w:top w:w="65" w:type="dxa"/>
              <w:start w:w="80" w:type="dxa"/>
              <w:bottom w:w="65" w:type="dxa"/>
              <w:end w:w="80" w:type="dxa"/>
            </w:tcMar>
          </w:tcPr>
          <w:p>
            <w:pPr>
              <w:keepLines/>
            </w:pPr>
            <w:r/>
            <w:r>
              <w:rPr>
                <w:rFonts w:ascii="Arial" w:hAnsi="Arial"/>
                <w:b w:val="0"/>
                <w:color w:val="262626"/>
                <w:sz w:val="14"/>
              </w:rPr>
              <w:t>Requires local feed, tracking, geometry and containment verification rather than one universal hardware solution.</w:t>
            </w:r>
          </w:p>
        </w:tc>
      </w:tr>
      <w:tr>
        <w:trPr>
          <w:cantSplit/>
          <w:cantSplit/>
        </w:trPr>
        <w:tc>
          <w:tcPr>
            <w:tcW w:type="dxa" w:w="1944"/>
            <w:tcMar>
              <w:top w:w="65" w:type="dxa"/>
              <w:start w:w="80" w:type="dxa"/>
              <w:bottom w:w="65" w:type="dxa"/>
              <w:end w:w="80" w:type="dxa"/>
            </w:tcMar>
          </w:tcPr>
          <w:p>
            <w:pPr>
              <w:keepLines/>
            </w:pPr>
            <w:r/>
            <w:r>
              <w:rPr>
                <w:rFonts w:ascii="Arial" w:hAnsi="Arial"/>
                <w:b w:val="0"/>
                <w:color w:val="262626"/>
                <w:sz w:val="14"/>
              </w:rPr>
              <w:t>Water / structural</w:t>
            </w:r>
          </w:p>
        </w:tc>
        <w:tc>
          <w:tcPr>
            <w:tcW w:type="dxa" w:w="4032"/>
            <w:tcMar>
              <w:top w:w="65" w:type="dxa"/>
              <w:start w:w="80" w:type="dxa"/>
              <w:bottom w:w="65" w:type="dxa"/>
              <w:end w:w="80" w:type="dxa"/>
            </w:tcMar>
          </w:tcPr>
          <w:p>
            <w:pPr>
              <w:keepLines/>
            </w:pPr>
            <w:r/>
            <w:r>
              <w:rPr>
                <w:rFonts w:ascii="Arial" w:hAnsi="Arial"/>
                <w:b w:val="0"/>
                <w:color w:val="262626"/>
                <w:sz w:val="14"/>
              </w:rPr>
              <w:t>Confirmed Screens water escape; CV01/CV04 wet conditions; Screens and L1 structural deterioration.</w:t>
            </w:r>
          </w:p>
        </w:tc>
        <w:tc>
          <w:tcPr>
            <w:tcW w:type="dxa" w:w="4680"/>
            <w:tcMar>
              <w:top w:w="65" w:type="dxa"/>
              <w:start w:w="80" w:type="dxa"/>
              <w:bottom w:w="65" w:type="dxa"/>
              <w:end w:w="80" w:type="dxa"/>
            </w:tcMar>
          </w:tcPr>
          <w:p>
            <w:pPr>
              <w:keepLines/>
            </w:pPr>
            <w:r/>
            <w:r>
              <w:rPr>
                <w:rFonts w:ascii="Arial" w:hAnsi="Arial"/>
                <w:b w:val="0"/>
                <w:color w:val="262626"/>
                <w:sz w:val="14"/>
              </w:rPr>
              <w:t>Water containment and structural integrity require dedicated inspection/assessment and should not be treated as housekeeping only.</w:t>
            </w:r>
          </w:p>
        </w:tc>
      </w:tr>
      <w:tr>
        <w:trPr>
          <w:cantSplit/>
          <w:cantSplit/>
        </w:trPr>
        <w:tc>
          <w:tcPr>
            <w:tcW w:type="dxa" w:w="1944"/>
            <w:tcMar>
              <w:top w:w="65" w:type="dxa"/>
              <w:start w:w="80" w:type="dxa"/>
              <w:bottom w:w="65" w:type="dxa"/>
              <w:end w:w="80" w:type="dxa"/>
            </w:tcMar>
          </w:tcPr>
          <w:p>
            <w:pPr>
              <w:keepLines/>
            </w:pPr>
            <w:r/>
            <w:r>
              <w:rPr>
                <w:rFonts w:ascii="Arial" w:hAnsi="Arial"/>
                <w:b w:val="0"/>
                <w:color w:val="262626"/>
                <w:sz w:val="14"/>
              </w:rPr>
              <w:t>Operational</w:t>
            </w:r>
          </w:p>
        </w:tc>
        <w:tc>
          <w:tcPr>
            <w:tcW w:type="dxa" w:w="4032"/>
            <w:tcMar>
              <w:top w:w="65" w:type="dxa"/>
              <w:start w:w="80" w:type="dxa"/>
              <w:bottom w:w="65" w:type="dxa"/>
              <w:end w:w="80" w:type="dxa"/>
            </w:tcMar>
          </w:tcPr>
          <w:p>
            <w:pPr>
              <w:keepLines/>
            </w:pPr>
            <w:r/>
            <w:r>
              <w:rPr>
                <w:rFonts w:ascii="Arial" w:hAnsi="Arial"/>
                <w:b w:val="0"/>
                <w:color w:val="262626"/>
                <w:sz w:val="14"/>
              </w:rPr>
              <w:t>Trip/restart unloading and recurring housekeeping.</w:t>
            </w:r>
          </w:p>
        </w:tc>
        <w:tc>
          <w:tcPr>
            <w:tcW w:type="dxa" w:w="4680"/>
            <w:tcMar>
              <w:top w:w="65" w:type="dxa"/>
              <w:start w:w="80" w:type="dxa"/>
              <w:bottom w:w="65" w:type="dxa"/>
              <w:end w:w="80" w:type="dxa"/>
            </w:tcMar>
          </w:tcPr>
          <w:p>
            <w:pPr>
              <w:keepLines/>
            </w:pPr>
            <w:r/>
            <w:r>
              <w:rPr>
                <w:rFonts w:ascii="Arial" w:hAnsi="Arial"/>
                <w:b w:val="0"/>
                <w:color w:val="262626"/>
                <w:sz w:val="14"/>
              </w:rPr>
              <w:t>Procedure and recovery controls are required, but should support rather than replace source correction.</w:t>
            </w:r>
          </w:p>
        </w:tc>
      </w:tr>
    </w:tbl>
    <w:p>
      <w:pPr>
        <w:pStyle w:val="BodyText"/>
        <w:keepLines w:val="0"/>
        <w:spacing w:after="80" w:line="252" w:lineRule="auto"/>
      </w:pPr>
      <w:r>
        <w:t>The recurring/systemic themes are fines/carryback, variable cleaner condition/effectiveness and incomplete containment of cleaner-removed material at some discharges. Local mechanisms include W10 coarse-product migration, Sample Conveyor carrying-margin/feed issues, Sample Conveyor 3 mistracking, U4 mistracking/one-sided loss and L3 alignment concern. Water/structural issues at the Screens and L1 require dedicated investigation/assessment, while trip/restart handling and housekeeping remain supporting operational controls.</w:t>
      </w:r>
    </w:p>
    <w:p>
      <w:pPr>
        <w:pStyle w:val="BodyText"/>
      </w:pPr>
      <w:r>
        <w:t>The most important system insight remains that visible deposit location can be the consequence location rather than the initiating cause location. This is why the recommended programme is organised around material-control functions and verified mechanisms rather than simply around the locations of the largest photographed deposits.</w:t>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PART X — THE ENGINEERING CONTROL PHILOSOPHY</w:t>
            </w:r>
          </w:p>
        </w:tc>
      </w:tr>
    </w:tbl>
    <w:p>
      <w:pPr>
        <w:pStyle w:val="Heading1"/>
        <w:keepNext/>
      </w:pPr>
      <w:r>
        <w:t>23 Engineering Control Philosophy — Keep the Combined Product Inside the Process</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CORE PRINCIPLE</w:t>
            </w:r>
          </w:p>
        </w:tc>
        <w:tc>
          <w:tcPr>
            <w:tcW w:type="dxa" w:w="4876"/>
            <w:shd w:fill="EEF3F8"/>
            <w:tcMar>
              <w:top w:w="80" w:type="dxa"/>
              <w:start w:w="100" w:type="dxa"/>
              <w:bottom w:w="80" w:type="dxa"/>
              <w:end w:w="100" w:type="dxa"/>
            </w:tcMar>
            <w:vAlign w:val="center"/>
          </w:tcPr>
          <w:p>
            <w:r/>
            <w:r>
              <w:rPr>
                <w:b w:val="0"/>
                <w:sz w:val="18"/>
              </w:rPr>
              <w:t>Keep the combined product — fines and coarse/lump ore — within the intended process/material-handling envelope throughout transit, and keep process water within its intended operating envelope, using controls appropriate to the specific failure mechanism and local geometry.</w:t>
            </w:r>
          </w:p>
        </w:tc>
      </w:tr>
    </w:tbl>
    <w:p>
      <w:pPr>
        <w:pStyle w:val="Heading2"/>
        <w:keepNext/>
      </w:pPr>
      <w:r>
        <w:rPr>
          <w:rFonts w:ascii="Arial" w:hAnsi="Arial"/>
          <w:b/>
        </w:rPr>
        <w:t>23.1 Fines / Carryback</w:t>
      </w:r>
    </w:p>
    <w:p>
      <w:pPr>
        <w:pStyle w:val="ListBullet"/>
        <w:spacing w:after="30"/>
      </w:pPr>
      <w:r>
        <w:t>Remove residual fines effectively at appropriate discharge locations.</w:t>
      </w:r>
    </w:p>
    <w:p>
      <w:pPr>
        <w:pStyle w:val="ListBullet"/>
        <w:spacing w:after="30"/>
      </w:pPr>
      <w:r>
        <w:t>Maintain cleaner contact and the required adjustment/wear-compensation function through service.</w:t>
      </w:r>
    </w:p>
    <w:p>
      <w:pPr>
        <w:pStyle w:val="ListBullet"/>
        <w:spacing w:after="30"/>
      </w:pPr>
      <w:r>
        <w:t>Keep cleaner-removed fines within the intended chute/process stream.</w:t>
      </w:r>
    </w:p>
    <w:p>
      <w:pPr>
        <w:pStyle w:val="ListBullet"/>
        <w:spacing w:after="30"/>
      </w:pPr>
      <w:r>
        <w:t>Prove the functional philosophy at CV09, then assess wider applicability by function and local geometry.</w:t>
      </w:r>
    </w:p>
    <w:p>
      <w:pPr>
        <w:pStyle w:val="Heading2"/>
        <w:keepNext/>
      </w:pPr>
      <w:r>
        <w:rPr>
          <w:rFonts w:ascii="Arial" w:hAnsi="Arial"/>
          <w:b/>
        </w:rPr>
        <w:t>23.2 Coarse / Lump Product</w:t>
      </w:r>
    </w:p>
    <w:p>
      <w:pPr>
        <w:pStyle w:val="ListBullet"/>
        <w:spacing w:after="30"/>
      </w:pPr>
      <w:r>
        <w:t>Verify feed quantity, representative product size and trajectory relative to usable carrying width.</w:t>
      </w:r>
    </w:p>
    <w:p>
      <w:pPr>
        <w:pStyle w:val="ListBullet"/>
        <w:spacing w:after="30"/>
      </w:pPr>
      <w:r>
        <w:t>Maintain suitable belt centring/tracking and carrying margin.</w:t>
      </w:r>
    </w:p>
    <w:p>
      <w:pPr>
        <w:pStyle w:val="ListBullet"/>
        <w:spacing w:after="30"/>
      </w:pPr>
      <w:r>
        <w:t>Use location-specific secondary side containment only where a residual duty remains after primary contributors are addressed.</w:t>
      </w:r>
    </w:p>
    <w:p>
      <w:pPr>
        <w:pStyle w:val="ListBullet"/>
        <w:spacing w:after="30"/>
      </w:pPr>
      <w:r>
        <w:t>Keep secondary barriers/rails outside the verified normal belt operating envelope.</w:t>
      </w:r>
    </w:p>
    <w:p>
      <w:pPr>
        <w:pStyle w:val="Heading2"/>
        <w:keepNext/>
      </w:pPr>
      <w:r>
        <w:rPr>
          <w:rFonts w:ascii="Arial" w:hAnsi="Arial"/>
          <w:b/>
        </w:rPr>
        <w:t>23.3 Transfer Points and Process Water</w:t>
      </w:r>
    </w:p>
    <w:p>
      <w:pPr>
        <w:pStyle w:val="ListBullet"/>
        <w:spacing w:after="30"/>
      </w:pPr>
      <w:r>
        <w:t>Keep transfer material within the chute/process envelope and correct confirmed source contributors before adding secondary controls.</w:t>
      </w:r>
    </w:p>
    <w:p>
      <w:pPr>
        <w:pStyle w:val="ListBullet"/>
        <w:spacing w:after="30"/>
      </w:pPr>
      <w:r>
        <w:t>Retain process water within the screening/washing envelope and correct the actual verified escape mechanism after safe shutdown investigation.</w:t>
      </w:r>
    </w:p>
    <w:p>
      <w:pPr>
        <w:pStyle w:val="Heading2"/>
        <w:keepNext/>
      </w:pPr>
      <w:r>
        <w:rPr>
          <w:rFonts w:ascii="Arial" w:hAnsi="Arial"/>
          <w:b/>
        </w:rPr>
        <w:t>23.4 Operational Events</w:t>
      </w:r>
    </w:p>
    <w:p>
      <w:pPr>
        <w:pStyle w:val="ListBullet"/>
        <w:spacing w:after="30"/>
      </w:pPr>
      <w:r>
        <w:t>Use controlled temporary placement/containment during unavoidable trip/restart clearing.</w:t>
      </w:r>
    </w:p>
    <w:p>
      <w:pPr>
        <w:pStyle w:val="ListBullet"/>
        <w:spacing w:after="30"/>
      </w:pPr>
      <w:r>
        <w:t>Define authorised responsibility, recovery/reintroduction route and timing.</w:t>
      </w:r>
    </w:p>
    <w:p>
      <w:pPr>
        <w:pStyle w:val="ListBullet"/>
        <w:spacing w:after="30"/>
      </w:pPr>
      <w:r>
        <w:t>Keep event-driven product handling distinguishable from recurring source-generated spillage.</w:t>
      </w:r>
    </w:p>
    <w:p>
      <w:pPr>
        <w:pStyle w:val="BodyText"/>
      </w:pPr>
      <w:r>
        <w:t>Common control sequence: identify the mechanism → verify geometry/operation → correct the source or primary contributor → provide appropriate primary containment → add justified secondary containment → manage consequence → prove performance under representative operation.</w:t>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PART XI — RECOMMENDED ACTION PROGRAMME</w:t>
            </w:r>
          </w:p>
        </w:tc>
      </w:tr>
    </w:tbl>
    <w:p>
      <w:pPr>
        <w:pStyle w:val="Heading1"/>
        <w:keepNext/>
      </w:pPr>
      <w:r>
        <w:t>24 Programme Structure and Implementation Principle</w:t>
      </w:r>
    </w:p>
    <w:p>
      <w:pPr>
        <w:pStyle w:val="BodyText"/>
        <w:keepLines w:val="0"/>
        <w:spacing w:after="80" w:line="252" w:lineRule="auto"/>
      </w:pPr>
      <w:r>
        <w:t>The recommended programme follows the control hierarchy established in Part X and should be closed on functional performance rather than task completion alone. The five implementation priorities are: prove/restore principal fines-control functions; correct or verify local material-loss/alignment mechanisms; resolve process-water and structural conditions; extend proven functional controls only where local applicability is established; and strengthen operational/housekeeping governance as supporting controls. Conceptual arrangements remain subject to site verification and responsible-engineer/OEM/South32 acceptance as applicable.</w:t>
      </w:r>
    </w:p>
    <w:p>
      <w:pPr>
        <w:pStyle w:val="Heading2"/>
        <w:keepNext/>
      </w:pPr>
      <w:r>
        <w:t>24.1 Priority 1A — Prove the Cleaner / Fines-Containment Function at CV09</w:t>
      </w:r>
    </w:p>
    <w:p>
      <w:pPr>
        <w:pStyle w:val="BodyText"/>
      </w:pPr>
      <w:r>
        <w:t>Engineering objective: demonstrate a practical cleaner-and-containment arrangement that materially reduces downstream wet-fines carryback and keeps material removed from the belt within the intended process/fines-discharge stream.</w:t>
      </w:r>
    </w:p>
    <w:p>
      <w:pPr>
        <w:pStyle w:val="Heading3"/>
        <w:keepNext/>
      </w:pPr>
      <w:r>
        <w:t>Required action sequence</w:t>
      </w:r>
    </w:p>
    <w:p>
      <w:pPr>
        <w:pStyle w:val="ListNumber"/>
      </w:pPr>
      <w:r>
        <w:t>Establish the as-found baseline: record cleaner arrangement/contact condition, local chute/enclosure geometry, intended removed-fines route, maintenance/guarding access and representative pre-trial fallout/carryback condition.</w:t>
      </w:r>
    </w:p>
    <w:p>
      <w:pPr>
        <w:pStyle w:val="ListNumber"/>
      </w:pPr>
      <w:r>
        <w:t>Complete detailed design development from verified site geometry, including cleaner-to-belt contact through the agreed wear condition, travel limitation, containment envelope, removed-fines route, cleaning stages where justified and safe inspection/replacement access.</w:t>
      </w:r>
    </w:p>
    <w:p>
      <w:pPr>
        <w:pStyle w:val="ListNumber"/>
      </w:pPr>
      <w:r>
        <w:t>Install and commission only after geometry, cleaner selection, safety and maintenance requirements are verified and accepted by the responsible authorities.</w:t>
      </w:r>
    </w:p>
    <w:p>
      <w:pPr>
        <w:pStyle w:val="ListNumber"/>
      </w:pPr>
      <w:r>
        <w:t>Monitor representative operation for an agreed period and compare the post-modification condition with the as-found baseline before wider rollout is considered.</w:t>
      </w:r>
    </w:p>
    <w:p>
      <w:pPr>
        <w:pStyle w:val="Heading3"/>
        <w:keepNext/>
      </w:pPr>
      <w:r>
        <w:t>Functional acceptance / close-out criteria</w:t>
      </w:r>
    </w:p>
    <w:p>
      <w:pPr>
        <w:pStyle w:val="ListBullet"/>
      </w:pPr>
      <w:r>
        <w:t>Downstream carryback materially reduced relative to the pre-trial condition.</w:t>
      </w:r>
    </w:p>
    <w:p>
      <w:pPr>
        <w:pStyle w:val="ListBullet"/>
      </w:pPr>
      <w:r>
        <w:t>Cleaner-removed wet fines retained within the intended process stream.</w:t>
      </w:r>
    </w:p>
    <w:p>
      <w:pPr>
        <w:pStyle w:val="ListBullet"/>
      </w:pPr>
      <w:r>
        <w:t>Stable cleaner contact maintained through the agreed operating/wear condition without unacceptable belt damage or abnormal cleaner wear.</w:t>
      </w:r>
    </w:p>
    <w:p>
      <w:pPr>
        <w:pStyle w:val="ListBullet"/>
      </w:pPr>
      <w:r>
        <w:t>Inspection, adjustment and replacement remain practical; no unacceptable guarding, trapping or access conflict is introduced.</w:t>
      </w:r>
    </w:p>
    <w:p>
      <w:pPr>
        <w:pStyle w:val="ListBullet"/>
      </w:pPr>
      <w:r>
        <w:t>Monitoring record is sufficient for a defensible wider-applicability decision.</w:t>
      </w:r>
    </w:p>
    <w:p>
      <w:pPr>
        <w:pStyle w:val="BodyText"/>
      </w:pPr>
      <w:r>
        <w:t>Evidence traceability: CV09-REF-002, CV09-REF-003, video CV09-REF-006; CV09-REF-008 supplementary. Final cleaner type, OEM wear limits, detailed chute modification and trial duration remain South32 / responsible-engineer / OEM decisions as applicable.</w:t>
      </w:r>
    </w:p>
    <w:p>
      <w:pPr>
        <w:pStyle w:val="Heading2"/>
        <w:keepNext/>
      </w:pPr>
      <w:r>
        <w:t>24.2 Priority 1B — Restore and Verify CV06 Cleaner Function</w:t>
      </w:r>
    </w:p>
    <w:p>
      <w:pPr>
        <w:pStyle w:val="BodyText"/>
      </w:pPr>
      <w:r>
        <w:t>Engineering objective: restore the directly compromised CV06 cleaner function and verify a complete, mechanically supported and operating cleaner arrangement before considering broader redesign.</w:t>
      </w:r>
    </w:p>
    <w:p>
      <w:pPr>
        <w:pStyle w:val="ListNumber"/>
      </w:pPr>
      <w:r>
        <w:t>Inspect the full cleaner assembly/support arrangement and establish the condition of the housing, displaced bush/insert, cross-shaft, blades and adjustment system.</w:t>
      </w:r>
    </w:p>
    <w:p>
      <w:pPr>
        <w:pStyle w:val="ListNumber"/>
      </w:pPr>
      <w:r>
        <w:t>Restore or replace defective/missing components through the applicable maintenance/OEM process; where records permit, investigate why the support bush displaced and why blades were absent.</w:t>
      </w:r>
    </w:p>
    <w:p>
      <w:pPr>
        <w:pStyle w:val="ListNumber"/>
      </w:pPr>
      <w:r>
        <w:t>Verify blade coverage/contact, support integrity and adjustment after restoration, then observe the cleaner during representative operation.</w:t>
      </w:r>
    </w:p>
    <w:p>
      <w:pPr>
        <w:pStyle w:val="BodyText"/>
      </w:pPr>
      <w:r>
        <w:t>Close-out requires the support defect to be corrected, required blade elements present across the intended working width, cleaner support/adjustment function verified, and any residual carryback/containment issue recorded for separate mechanism-based follow-up. Evidence: CV06-REF-004 and CV06-REF-005.</w:t>
      </w:r>
    </w:p>
    <w:p>
      <w:pPr>
        <w:pStyle w:val="Heading1"/>
        <w:keepNext/>
      </w:pPr>
      <w:r>
        <w:t>25 Priority 2 — Correct or Verify Local Material-Loss / Alignment Mechanisms</w:t>
      </w:r>
    </w:p>
    <w:p>
      <w:pPr>
        <w:pStyle w:val="BodyText"/>
        <w:keepLines w:val="0"/>
        <w:spacing w:after="80" w:line="252" w:lineRule="auto"/>
      </w:pPr>
      <w:r>
        <w:t>Priority 2 addresses locations where a material-loss/alignment mechanism is confirmed or sufficiently supported to justify targeted measurement and correction, while retaining the evidence boundary at cases such as L3 where significant solid-product causation is not established.</w:t>
      </w:r>
    </w:p>
    <w:p>
      <w:pPr>
        <w:pStyle w:val="Heading2"/>
        <w:keepNext/>
      </w:pPr>
      <w:r>
        <w:t>25.1 U4 Tripper Car — Tracking / Alignment Correction</w:t>
      </w:r>
    </w:p>
    <w:p>
      <w:pPr>
        <w:pStyle w:val="BodyText"/>
      </w:pPr>
      <w:r>
        <w:t>Objective: restore and maintain a suitably centred belt path through the full tripper operating range so the verified one-sided product-loss condition is removed or materially reduced.</w:t>
      </w:r>
    </w:p>
    <w:p>
      <w:pPr>
        <w:pStyle w:val="ListNumber"/>
      </w:pPr>
      <w:r>
        <w:t>Establish fixed repeatable survey/reference points and quantify relevant tail-pulley, support and belt-path geometry in the as-found condition.</w:t>
      </w:r>
    </w:p>
    <w:p>
      <w:pPr>
        <w:pStyle w:val="ListNumber"/>
      </w:pPr>
      <w:r>
        <w:t>Inspect adjustment/support condition, remove trapped material that could distort assessment, and correct the confirmed geometry/tracking contributor as required.</w:t>
      </w:r>
    </w:p>
    <w:p>
      <w:pPr>
        <w:pStyle w:val="ListNumber"/>
      </w:pPr>
      <w:r>
        <w:t>Verify belt tracking under representative operation through the full tripper travel range and retain the as-left geometry/reference baseline.</w:t>
      </w:r>
    </w:p>
    <w:p>
      <w:pPr>
        <w:pStyle w:val="BodyText"/>
      </w:pPr>
      <w:r>
        <w:t>Close-out: stable/centred tracking and adequate carrying margin demonstrated through full travel; one-sided product loss materially reduced/removed; U4 cleaner requirements assessed separately. Evidence: UGU4-REF-009, UGU4-REF-007, video UGU4-REF-010, cleaner context UGU4-REF-011/-012.</w:t>
      </w:r>
    </w:p>
    <w:p>
      <w:pPr>
        <w:pStyle w:val="Heading2"/>
        <w:keepNext/>
      </w:pPr>
      <w:r>
        <w:t>25.2 Sample Conveyor 3 — Feed, Tracking and Secondary Containment</w:t>
      </w:r>
    </w:p>
    <w:p>
      <w:pPr>
        <w:pStyle w:val="BodyText"/>
      </w:pPr>
      <w:r>
        <w:t>Objective: reduce coarse/mixed-product loss by addressing feed and tracking contributors before finalising secondary side containment.</w:t>
      </w:r>
    </w:p>
    <w:p>
      <w:pPr>
        <w:pStyle w:val="ListNumber"/>
      </w:pPr>
      <w:r>
        <w:t>Measure usable carrying width; document representative product size/feed; identify feed-control/metering; observe feed trajectory; quantify lateral offset/mistracking; inspect head/tail alignment, tensioning and relevant supports/idlers.</w:t>
      </w:r>
    </w:p>
    <w:p>
      <w:pPr>
        <w:pStyle w:val="ListNumber"/>
      </w:pPr>
      <w:r>
        <w:t>Correct/control verified feed or tracking contributors, then reassess the residual containment duty.</w:t>
      </w:r>
    </w:p>
    <w:p>
      <w:pPr>
        <w:pStyle w:val="ListNumber"/>
      </w:pPr>
      <w:r>
        <w:t>If secondary containment remains necessary, develop it from the verified operating envelope with suitable belt clearance, clean-out access and protection against trapping/abnormal belt contact.</w:t>
      </w:r>
    </w:p>
    <w:p>
      <w:pPr>
        <w:pStyle w:val="BodyText"/>
      </w:pPr>
      <w:r>
        <w:t>Close-out: width/feed condition documented; offset quantified; primary contributors controlled; coarse/mixed loss materially reduced; any remaining containment remains clear/maintainable and does not become a normal belt-contact surface. Evidence: LoadoutStationSample3-REF-013, -005/-006, -002 and -012.</w:t>
      </w:r>
    </w:p>
    <w:p>
      <w:pPr>
        <w:pStyle w:val="Heading2"/>
        <w:keepNext/>
      </w:pPr>
      <w:r>
        <w:t>25.3 Sample Conveyor 2 — Feed / Loading Verification Before Secondary Containment</w:t>
      </w:r>
    </w:p>
    <w:p>
      <w:pPr>
        <w:pStyle w:val="BodyText"/>
      </w:pPr>
      <w:r>
        <w:t>Objective: establish the relationship between incoming product, representative product size and usable belt carrying width before attributing the condition to mistracking or committing to final side-containment geometry.</w:t>
      </w:r>
    </w:p>
    <w:p>
      <w:pPr>
        <w:pStyle w:val="ListNumber"/>
      </w:pPr>
      <w:r>
        <w:t>Measure usable belt width; document representative product/feed condition and trajectory; identify feed-control/metering; verify head/tail alignment and live tracking without presuming significant mistracking; establish normal belt-edge clearance.</w:t>
      </w:r>
    </w:p>
    <w:p>
      <w:pPr>
        <w:pStyle w:val="ListNumber"/>
      </w:pPr>
      <w:r>
        <w:t>Determine whether feed control materially improves containment, then develop secondary support/skirt/rail only if a residual duty remains.</w:t>
      </w:r>
    </w:p>
    <w:p>
      <w:pPr>
        <w:pStyle w:val="BodyText"/>
      </w:pPr>
      <w:r>
        <w:t>Close-out: feed/belt geometry documented; feed controlled to a containable condition; significant mistracking ruled out or corrected if found; visible loss materially reduced; any secondary containment maintains clearance/access. Evidence: LoadoutStationSample2-REF-004, -006/-007, supporting -001/-003.</w:t>
      </w:r>
    </w:p>
    <w:p>
      <w:pPr>
        <w:pStyle w:val="Heading2"/>
        <w:keepNext/>
      </w:pPr>
      <w:r>
        <w:t>25.4 W10 — Source-Control Review and Side-Containment Feasibility</w:t>
      </w:r>
    </w:p>
    <w:p>
      <w:pPr>
        <w:pStyle w:val="BodyText"/>
      </w:pPr>
      <w:r>
        <w:t>Objective: reduce mixed/coarse-product migration into the restricted W10 access route without creating a barrier that routinely contacts the belt or introduces new trapping, wear or maintenance hazards.</w:t>
      </w:r>
    </w:p>
    <w:p>
      <w:pPr>
        <w:pStyle w:val="ListNumber"/>
      </w:pPr>
      <w:r>
        <w:t>Establish the normal tracking envelope and record belt/trough/support/side-clearance geometry.</w:t>
      </w:r>
    </w:p>
    <w:p>
      <w:pPr>
        <w:pStyle w:val="ListNumber"/>
      </w:pPr>
      <w:r>
        <w:t>Investigate likely initiating contributors and source-control opportunities; distinguish return-side fines from carrying-side coarse/mixed loss where the evidence allows.</w:t>
      </w:r>
    </w:p>
    <w:p>
      <w:pPr>
        <w:pStyle w:val="ListNumber"/>
      </w:pPr>
      <w:r>
        <w:t>Define clean-out/access requirements and, only if still justified, develop a secondary barrier/rail outside the verified normal belt operating envelope.</w:t>
      </w:r>
    </w:p>
    <w:p>
      <w:pPr>
        <w:pStyle w:val="BodyText"/>
      </w:pPr>
      <w:r>
        <w:t>Close-out: geometry/tracking envelope verified; initiating contributors investigated/corrected where practicable; any barrier remains outside normal belt contact; access/trapping/wear/maintenance assessed; tunnel accumulation materially reduced. Evidence: W10-REF-002, W10-REF-010/-011, supporting W10-REF-006/-009.</w:t>
      </w:r>
    </w:p>
    <w:p>
      <w:pPr>
        <w:pStyle w:val="Heading2"/>
        <w:keepNext/>
      </w:pPr>
      <w:r>
        <w:t>25.5 L3 — Quantitative Alignment / Tracking Verification</w:t>
      </w:r>
    </w:p>
    <w:p>
      <w:pPr>
        <w:pStyle w:val="BodyText"/>
      </w:pPr>
      <w:r>
        <w:t>Objective: quantify and correct the supported L3 tail-end alignment/offset condition where required, while preserving that significant solid/lump-product loss is not established as a direct consequence.</w:t>
      </w:r>
    </w:p>
    <w:p>
      <w:pPr>
        <w:pStyle w:val="ListNumber"/>
      </w:pPr>
      <w:r>
        <w:t>Establish fixed references; measure pulley/belt/support-frame geometry; inspect adjustment/idler/tensioning condition; remove local material that could influence assessment; observe representative live tracking.</w:t>
      </w:r>
    </w:p>
    <w:p>
      <w:pPr>
        <w:pStyle w:val="ListNumber"/>
      </w:pPr>
      <w:r>
        <w:t>Correct any verified alignment/tracking defect and retain as-left geometry/operating belt position. Observe whether the corrected condition changes local fines/material accumulation without retrospectively promoting an unproven solid-product causal claim.</w:t>
      </w:r>
    </w:p>
    <w:p>
      <w:pPr>
        <w:pStyle w:val="BodyText"/>
      </w:pPr>
      <w:r>
        <w:t>Close-out: geometry quantitatively established; confirmed defect corrected/dispositioned; live tracking recorded; as-left references retained; evidence boundary maintained. Evidence: LoadoutStationL3-REF-001, -007, supporting -008.</w:t>
      </w:r>
    </w:p>
    <w:p>
      <w:pPr>
        <w:pStyle w:val="Heading1"/>
        <w:keepNext/>
      </w:pPr>
      <w:r>
        <w:t>26 Priority 3 — Water Containment and Structural Actions</w:t>
      </w:r>
    </w:p>
    <w:p>
      <w:pPr>
        <w:pStyle w:val="BodyText"/>
        <w:keepLines w:val="0"/>
        <w:spacing w:after="80" w:line="252" w:lineRule="auto"/>
      </w:pPr>
      <w:r>
        <w:t>Priority 3 separates process-water containment from structural integrity so that each workstream is investigated and accepted on its own evidence and engineering requirements.</w:t>
      </w:r>
    </w:p>
    <w:p>
      <w:pPr>
        <w:pStyle w:val="Heading2"/>
        <w:keepNext/>
      </w:pPr>
      <w:r>
        <w:t>26.1 Screens — Identify the Water-Escape Mechanism Before Modification</w:t>
      </w:r>
    </w:p>
    <w:p>
      <w:pPr>
        <w:pStyle w:val="BodyText"/>
      </w:pPr>
      <w:r>
        <w:t>Objective: retain process water and entrained wet fines within the screening/chute envelope by correcting the verified escape mechanism rather than designing from an assumed cause.</w:t>
      </w:r>
    </w:p>
    <w:p>
      <w:pPr>
        <w:pStyle w:val="ListNumber"/>
      </w:pPr>
      <w:r>
        <w:t>Complete a safe shutdown inspection and correlate observations with the existing dynamic water-escape videos.</w:t>
      </w:r>
    </w:p>
    <w:p>
      <w:pPr>
        <w:pStyle w:val="ListNumber"/>
      </w:pPr>
      <w:r>
        <w:t>Identify actual escape path(s) and assess relevant seals, chute interfaces, screen movement/clearance, enclosure geometry and maintenance condition; record design-input geometry.</w:t>
      </w:r>
    </w:p>
    <w:p>
      <w:pPr>
        <w:pStyle w:val="ListNumber"/>
      </w:pPr>
      <w:r>
        <w:t>Develop/implement the containment modification only after the mechanism is established, then verify representative operation.</w:t>
      </w:r>
    </w:p>
    <w:p>
      <w:pPr>
        <w:pStyle w:val="BodyText"/>
      </w:pPr>
      <w:r>
        <w:t>Close-out: actual mechanism identified; modification addresses it; process water/wet fines retained to the accepted operating standard; no unacceptable maintenance/access conflict. Evidence: Screen-REF-016/-017 supported by the Screens photo set.</w:t>
      </w:r>
    </w:p>
    <w:p>
      <w:pPr>
        <w:pStyle w:val="Heading2"/>
        <w:keepNext/>
      </w:pPr>
      <w:r>
        <w:t>26.2 Screens — Structural Support Assessment</w:t>
      </w:r>
    </w:p>
    <w:p>
      <w:pPr>
        <w:pStyle w:val="BodyText"/>
      </w:pPr>
      <w:r>
        <w:t>Objective: establish the condition and remaining capacity of cut/notched/corroded support members and define the required repair/replacement scope independently of unverified assumptions about why the damage occurred.</w:t>
      </w:r>
    </w:p>
    <w:p>
      <w:pPr>
        <w:pStyle w:val="ListNumber"/>
      </w:pPr>
      <w:r>
        <w:t>Appoint a competent structural authority; record member dimensions, cut/notch geometry, section loss, connection condition and other required assessment inputs.</w:t>
      </w:r>
    </w:p>
    <w:p>
      <w:pPr>
        <w:pStyle w:val="ListNumber"/>
      </w:pPr>
      <w:r>
        <w:t>Determine remaining capacity and repair/replacement scope; formally calculate/approve any revised support geometry required for future equipment or maintenance clearance.</w:t>
      </w:r>
    </w:p>
    <w:p>
      <w:pPr>
        <w:pStyle w:val="BodyText"/>
      </w:pPr>
      <w:r>
        <w:t>Close-out: competent structural assessment complete; capacity/status and repair requirement defined; intervention completed or formally controlled/scheduled; revised geometry checked/approved. Evidence: Screen-REF-006/-010, supporting -004/-008.</w:t>
      </w:r>
    </w:p>
    <w:p>
      <w:pPr>
        <w:pStyle w:val="Heading2"/>
        <w:keepNext/>
      </w:pPr>
      <w:r>
        <w:t>26.3 L1 — Structural Condition and Belt-Clearance Verification</w:t>
      </w:r>
    </w:p>
    <w:p>
      <w:pPr>
        <w:pStyle w:val="BodyText"/>
      </w:pPr>
      <w:r>
        <w:t>Objective: define/correct the documented L1 structural deterioration, reduce conditions that may accelerate further deterioration, and verify suitable representative belt clearance from the affected support geometry.</w:t>
      </w:r>
    </w:p>
    <w:p>
      <w:pPr>
        <w:pStyle w:val="ListNumber"/>
      </w:pPr>
      <w:r>
        <w:t>Complete competent assessment of affected concrete, reinforcement, steel members and connections; record dimensions/section loss and wear-slot/contact geometry.</w:t>
      </w:r>
    </w:p>
    <w:p>
      <w:pPr>
        <w:pStyle w:val="ListNumber"/>
      </w:pPr>
      <w:r>
        <w:t>Verify representative belt tracking/clearance; do not infer continuous present contact from historic/intermittent wear marks unless direct verification establishes it.</w:t>
      </w:r>
    </w:p>
    <w:p>
      <w:pPr>
        <w:pStyle w:val="ListNumber"/>
      </w:pPr>
      <w:r>
        <w:t>Implement the required structural repair/replacement and reduce recurring fines/moisture accumulation around repaired interfaces.</w:t>
      </w:r>
    </w:p>
    <w:p>
      <w:pPr>
        <w:pStyle w:val="BodyText"/>
      </w:pPr>
      <w:r>
        <w:t>Close-out: structural condition/capacity assessed; repair scope implemented/controlled; representative clearance confirmed; evidence distinction retained; recurring fines/moisture materially reduced or controlled. Evidence: LoadoutStationL1-REF-007, -003/-005, -008, -013; -017 supporting.</w:t>
      </w:r>
    </w:p>
    <w:p>
      <w:pPr>
        <w:pStyle w:val="Heading1"/>
        <w:keepNext/>
      </w:pPr>
      <w:r>
        <w:rPr>
          <w:rFonts w:ascii="Arial" w:hAnsi="Arial"/>
          <w:b/>
        </w:rPr>
        <w:t>27 Priority 4 — Extend Proven Controls Where Applicable</w:t>
      </w:r>
    </w:p>
    <w:p>
      <w:pPr>
        <w:pStyle w:val="BodyText"/>
        <w:keepLines w:val="0"/>
        <w:spacing w:after="80" w:line="252" w:lineRule="auto"/>
      </w:pPr>
      <w:r>
        <w:t>After the CV09 pilot and targeted local actions have produced verified functional results, complete a structured applicability review at other relevant discharges and vulnerable transport sections. Standardise the required material-control function, not identical hardware. Each location should be checked for its actual mechanism, cleaner/maintenance condition, belt/material state, chute/discharge geometry, tracking/loading condition, installation envelope, route for removed material, guarding/trapping and maintenance access before adaptation.</w:t>
      </w:r>
    </w:p>
    <w:p>
      <w:pPr>
        <w:pStyle w:val="BodyText"/>
      </w:pPr>
      <w:r>
        <w:t>A control should only be standardised after its functional result is proven and local applicability is verified. Successful CV09 performance justifies wider assessment of the cleaner/containment philosophy; it does not justify copying the same hardware unchanged to U4 or every conveyor.</w:t>
      </w:r>
    </w:p>
    <w:p>
      <w:pPr>
        <w:pStyle w:val="Heading1"/>
        <w:keepNext/>
      </w:pPr>
      <w:r>
        <w:t>28 Priority 5 — Operational and Housekeeping Governance</w:t>
      </w:r>
    </w:p>
    <w:p>
      <w:pPr>
        <w:pStyle w:val="BodyText"/>
        <w:keepLines w:val="0"/>
        <w:spacing w:after="80" w:line="252" w:lineRule="auto"/>
      </w:pPr>
      <w:r>
        <w:t>Operational and housekeeping controls are required to manage event-driven deposits, maintain safe access and provide performance feedback, while remaining clearly subordinate to source-control engineering where a recurring mechanism can be corrected.</w:t>
      </w:r>
    </w:p>
    <w:p>
      <w:pPr>
        <w:pStyle w:val="Heading2"/>
        <w:keepNext/>
      </w:pPr>
      <w:r>
        <w:t>28.1 Trip / Restart Product Handling</w:t>
      </w:r>
    </w:p>
    <w:p>
      <w:pPr>
        <w:pStyle w:val="BodyText"/>
      </w:pPr>
      <w:r>
        <w:t>Confirm the current written trip/restart unloading practice; define authorised responsibility for unloading, temporary placement/containment and recovery; define how/when removed product returns to the process; and ensure event-driven clearing remains distinguishable from recurring mechanically generated spillage.</w:t>
      </w:r>
    </w:p>
    <w:p>
      <w:pPr>
        <w:pStyle w:val="BodyText"/>
      </w:pPr>
      <w:r>
        <w:t>Close-out: documented/approved procedure, explicit responsibilities, controlled temporary placement, defined recovery/reintroduction route and identifiable separation of event-driven versus chronic deposits.</w:t>
      </w:r>
    </w:p>
    <w:p>
      <w:pPr>
        <w:pStyle w:val="Heading2"/>
        <w:keepNext/>
      </w:pPr>
      <w:r>
        <w:t>28.2 Housekeeping / Recovery</w:t>
      </w:r>
    </w:p>
    <w:p>
      <w:pPr>
        <w:pStyle w:val="BodyText"/>
      </w:pPr>
      <w:r>
        <w:t>Confirm housekeeping/recovery responsibilities and appropriate inspection/clearing frequency. Where repeat accumulation is significant, retain sufficient records to support trend assessment and use recurring accumulation as feedback on source-control performance. Maintain safe access/escape routes, particularly in restricted areas such as W10.</w:t>
      </w:r>
    </w:p>
    <w:p>
      <w:pPr>
        <w:pStyle w:val="BodyText"/>
      </w:pPr>
      <w:r>
        <w:t>Governing principle: Housekeeping controls the consequence. Source control should reduce the recurrence.</w:t>
      </w:r>
    </w:p>
    <w:p>
      <w:pPr>
        <w:pStyle w:val="Heading2"/>
        <w:keepNext/>
      </w:pPr>
      <w:r>
        <w:t>28.3 Programme Close-Out Rule</w:t>
      </w:r>
    </w:p>
    <w:p>
      <w:pPr>
        <w:pStyle w:val="BodyText"/>
      </w:pPr>
      <w:r>
        <w:t>Each material action should retain the evidence chain: as-found evidence → verification/measurement → corrective design or control → implementation → representative operating proof → as-left record → monitoring/closure. Maintenance sign-off, installation completion or a cleaned area is an intermediate milestone unless the intended functional outcome is also demonstrated.</w:t>
      </w:r>
    </w:p>
    <w:p>
      <w:pPr>
        <w:pStyle w:val="Heading2"/>
        <w:keepNext/>
        <w:pageBreakBefore/>
      </w:pPr>
      <w:r>
        <w:t>28.4 Consolidated Priority Action Register</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1950"/>
        <w:gridCol w:w="1950"/>
        <w:gridCol w:w="1950"/>
        <w:gridCol w:w="1950"/>
        <w:gridCol w:w="1950"/>
      </w:tblGrid>
      <w:tr>
        <w:trPr>
          <w:cantSplit/>
          <w:cantSplit/>
        </w:trPr>
        <w:tc>
          <w:tcPr>
            <w:tcW w:type="dxa" w:w="1008"/>
            <w:shd w:fill="DCE6F1"/>
            <w:tcMar>
              <w:top w:w="70" w:type="dxa"/>
              <w:start w:w="80" w:type="dxa"/>
              <w:bottom w:w="70" w:type="dxa"/>
              <w:end w:w="80" w:type="dxa"/>
            </w:tcMar>
          </w:tcPr>
          <w:p>
            <w:r/>
            <w:r>
              <w:rPr>
                <w:b/>
                <w:sz w:val="14"/>
              </w:rPr>
              <w:t>Priority</w:t>
            </w:r>
          </w:p>
        </w:tc>
        <w:tc>
          <w:tcPr>
            <w:tcW w:type="dxa" w:w="2664"/>
            <w:shd w:fill="DCE6F1"/>
            <w:tcMar>
              <w:top w:w="70" w:type="dxa"/>
              <w:start w:w="80" w:type="dxa"/>
              <w:bottom w:w="70" w:type="dxa"/>
              <w:end w:w="80" w:type="dxa"/>
            </w:tcMar>
          </w:tcPr>
          <w:p>
            <w:r/>
            <w:r>
              <w:rPr>
                <w:b/>
                <w:sz w:val="14"/>
              </w:rPr>
              <w:t>Action</w:t>
            </w:r>
          </w:p>
        </w:tc>
        <w:tc>
          <w:tcPr>
            <w:tcW w:type="dxa" w:w="1944"/>
            <w:shd w:fill="DCE6F1"/>
            <w:tcMar>
              <w:top w:w="70" w:type="dxa"/>
              <w:start w:w="80" w:type="dxa"/>
              <w:bottom w:w="70" w:type="dxa"/>
              <w:end w:w="80" w:type="dxa"/>
            </w:tcMar>
          </w:tcPr>
          <w:p>
            <w:r/>
            <w:r>
              <w:rPr>
                <w:b/>
                <w:sz w:val="14"/>
              </w:rPr>
              <w:t>Type</w:t>
            </w:r>
          </w:p>
        </w:tc>
        <w:tc>
          <w:tcPr>
            <w:tcW w:type="dxa" w:w="3672"/>
            <w:shd w:fill="DCE6F1"/>
            <w:tcMar>
              <w:top w:w="70" w:type="dxa"/>
              <w:start w:w="80" w:type="dxa"/>
              <w:bottom w:w="70" w:type="dxa"/>
              <w:end w:w="80" w:type="dxa"/>
            </w:tcMar>
          </w:tcPr>
          <w:p>
            <w:r/>
            <w:r>
              <w:rPr>
                <w:b/>
                <w:sz w:val="14"/>
              </w:rPr>
              <w:t>Verification / design requirement</w:t>
            </w:r>
          </w:p>
        </w:tc>
        <w:tc>
          <w:tcPr>
            <w:tcW w:type="dxa" w:w="1368"/>
            <w:shd w:fill="DCE6F1"/>
            <w:tcMar>
              <w:top w:w="70" w:type="dxa"/>
              <w:start w:w="80" w:type="dxa"/>
              <w:bottom w:w="70" w:type="dxa"/>
              <w:end w:w="80" w:type="dxa"/>
            </w:tcMar>
          </w:tcPr>
          <w:p>
            <w:r/>
            <w:r>
              <w:rPr>
                <w:b/>
                <w:sz w:val="14"/>
              </w:rPr>
              <w:t>Primary evidence / case</w:t>
            </w:r>
          </w:p>
        </w:tc>
      </w:tr>
      <w:tr>
        <w:trPr>
          <w:cantSplit/>
        </w:trPr>
        <w:tc>
          <w:tcPr>
            <w:tcW w:type="dxa" w:w="1950"/>
          </w:tcPr>
          <w:p>
            <w:r/>
            <w:r>
              <w:rPr>
                <w:b w:val="0"/>
                <w:sz w:val="14"/>
              </w:rPr>
              <w:t>1A</w:t>
            </w:r>
          </w:p>
        </w:tc>
        <w:tc>
          <w:tcPr>
            <w:tcW w:type="dxa" w:w="1950"/>
          </w:tcPr>
          <w:p>
            <w:r/>
            <w:r>
              <w:rPr>
                <w:b w:val="0"/>
                <w:sz w:val="14"/>
              </w:rPr>
              <w:t>CV09 cleaner + containment pilot</w:t>
            </w:r>
          </w:p>
        </w:tc>
        <w:tc>
          <w:tcPr>
            <w:tcW w:type="dxa" w:w="1950"/>
          </w:tcPr>
          <w:p>
            <w:r/>
            <w:r>
              <w:rPr>
                <w:b w:val="0"/>
                <w:sz w:val="14"/>
              </w:rPr>
              <w:t>Design development / pilot</w:t>
            </w:r>
          </w:p>
        </w:tc>
        <w:tc>
          <w:tcPr>
            <w:tcW w:type="dxa" w:w="1950"/>
          </w:tcPr>
          <w:p>
            <w:r/>
            <w:r>
              <w:rPr>
                <w:b w:val="0"/>
                <w:sz w:val="14"/>
              </w:rPr>
              <w:t>As-found geometry; cleaner/contact/wear function; containment/fines route; representative monitoring</w:t>
            </w:r>
          </w:p>
        </w:tc>
        <w:tc>
          <w:tcPr>
            <w:tcW w:type="dxa" w:w="1950"/>
          </w:tcPr>
          <w:p>
            <w:r/>
            <w:r>
              <w:rPr>
                <w:b w:val="0"/>
                <w:sz w:val="14"/>
              </w:rPr>
              <w:t>CV09</w:t>
            </w:r>
          </w:p>
        </w:tc>
      </w:tr>
      <w:tr>
        <w:trPr>
          <w:cantSplit/>
        </w:trPr>
        <w:tc>
          <w:tcPr>
            <w:tcW w:type="dxa" w:w="1950"/>
          </w:tcPr>
          <w:p>
            <w:r/>
            <w:r>
              <w:rPr>
                <w:b w:val="0"/>
                <w:sz w:val="14"/>
              </w:rPr>
              <w:t>1B</w:t>
            </w:r>
          </w:p>
        </w:tc>
        <w:tc>
          <w:tcPr>
            <w:tcW w:type="dxa" w:w="1950"/>
          </w:tcPr>
          <w:p>
            <w:r/>
            <w:r>
              <w:rPr>
                <w:b w:val="0"/>
                <w:sz w:val="14"/>
              </w:rPr>
              <w:t>CV06 cleaner restoration</w:t>
            </w:r>
          </w:p>
        </w:tc>
        <w:tc>
          <w:tcPr>
            <w:tcW w:type="dxa" w:w="1950"/>
          </w:tcPr>
          <w:p>
            <w:r/>
            <w:r>
              <w:rPr>
                <w:b w:val="0"/>
                <w:sz w:val="14"/>
              </w:rPr>
              <w:t>Maintenance / operating verification</w:t>
            </w:r>
          </w:p>
        </w:tc>
        <w:tc>
          <w:tcPr>
            <w:tcW w:type="dxa" w:w="1950"/>
          </w:tcPr>
          <w:p>
            <w:r/>
            <w:r>
              <w:rPr>
                <w:b w:val="0"/>
                <w:sz w:val="14"/>
              </w:rPr>
              <w:t>Restore support/blades; verify contact/coverage/support; operating check</w:t>
            </w:r>
          </w:p>
        </w:tc>
        <w:tc>
          <w:tcPr>
            <w:tcW w:type="dxa" w:w="1950"/>
          </w:tcPr>
          <w:p>
            <w:r/>
            <w:r>
              <w:rPr>
                <w:b w:val="0"/>
                <w:sz w:val="14"/>
              </w:rPr>
              <w:t>CV06</w:t>
            </w:r>
          </w:p>
        </w:tc>
      </w:tr>
      <w:tr>
        <w:trPr>
          <w:cantSplit/>
        </w:trPr>
        <w:tc>
          <w:tcPr>
            <w:tcW w:type="dxa" w:w="1950"/>
          </w:tcPr>
          <w:p>
            <w:r/>
            <w:r>
              <w:rPr>
                <w:b w:val="0"/>
                <w:sz w:val="14"/>
              </w:rPr>
              <w:t>2</w:t>
            </w:r>
          </w:p>
        </w:tc>
        <w:tc>
          <w:tcPr>
            <w:tcW w:type="dxa" w:w="1950"/>
          </w:tcPr>
          <w:p>
            <w:r/>
            <w:r>
              <w:rPr>
                <w:b w:val="0"/>
                <w:sz w:val="14"/>
              </w:rPr>
              <w:t>U4 tracking/alignment correction</w:t>
            </w:r>
          </w:p>
        </w:tc>
        <w:tc>
          <w:tcPr>
            <w:tcW w:type="dxa" w:w="1950"/>
          </w:tcPr>
          <w:p>
            <w:r/>
            <w:r>
              <w:rPr>
                <w:b w:val="0"/>
                <w:sz w:val="14"/>
              </w:rPr>
              <w:t>Corrective maintenance + verification</w:t>
            </w:r>
          </w:p>
        </w:tc>
        <w:tc>
          <w:tcPr>
            <w:tcW w:type="dxa" w:w="1950"/>
          </w:tcPr>
          <w:p>
            <w:r/>
            <w:r>
              <w:rPr>
                <w:b w:val="0"/>
                <w:sz w:val="14"/>
              </w:rPr>
              <w:t>Quantify geometry; correct; prove full tripper travel; retain as-left baseline</w:t>
            </w:r>
          </w:p>
        </w:tc>
        <w:tc>
          <w:tcPr>
            <w:tcW w:type="dxa" w:w="1950"/>
          </w:tcPr>
          <w:p>
            <w:r/>
            <w:r>
              <w:rPr>
                <w:b w:val="0"/>
                <w:sz w:val="14"/>
              </w:rPr>
              <w:t>U4</w:t>
            </w:r>
          </w:p>
        </w:tc>
      </w:tr>
      <w:tr>
        <w:trPr>
          <w:cantSplit/>
        </w:trPr>
        <w:tc>
          <w:tcPr>
            <w:tcW w:type="dxa" w:w="1950"/>
          </w:tcPr>
          <w:p>
            <w:r/>
            <w:r>
              <w:rPr>
                <w:b w:val="0"/>
                <w:sz w:val="14"/>
              </w:rPr>
              <w:t>2</w:t>
            </w:r>
          </w:p>
        </w:tc>
        <w:tc>
          <w:tcPr>
            <w:tcW w:type="dxa" w:w="1950"/>
          </w:tcPr>
          <w:p>
            <w:r/>
            <w:r>
              <w:rPr>
                <w:b w:val="0"/>
                <w:sz w:val="14"/>
              </w:rPr>
              <w:t>Sample Conveyor 3 feed/tracking/containment</w:t>
            </w:r>
          </w:p>
        </w:tc>
        <w:tc>
          <w:tcPr>
            <w:tcW w:type="dxa" w:w="1950"/>
          </w:tcPr>
          <w:p>
            <w:r/>
            <w:r>
              <w:rPr>
                <w:b w:val="0"/>
                <w:sz w:val="14"/>
              </w:rPr>
              <w:t>Process / mechanical design</w:t>
            </w:r>
          </w:p>
        </w:tc>
        <w:tc>
          <w:tcPr>
            <w:tcW w:type="dxa" w:w="1950"/>
          </w:tcPr>
          <w:p>
            <w:r/>
            <w:r>
              <w:rPr>
                <w:b w:val="0"/>
                <w:sz w:val="14"/>
              </w:rPr>
              <w:t>Measure width/feed/offset; correct primary contributors; residual containment only</w:t>
            </w:r>
          </w:p>
        </w:tc>
        <w:tc>
          <w:tcPr>
            <w:tcW w:type="dxa" w:w="1950"/>
          </w:tcPr>
          <w:p>
            <w:r/>
            <w:r>
              <w:rPr>
                <w:b w:val="0"/>
                <w:sz w:val="14"/>
              </w:rPr>
              <w:t>Sample 3</w:t>
            </w:r>
          </w:p>
        </w:tc>
      </w:tr>
      <w:tr>
        <w:trPr>
          <w:cantSplit/>
        </w:trPr>
        <w:tc>
          <w:tcPr>
            <w:tcW w:type="dxa" w:w="1950"/>
          </w:tcPr>
          <w:p>
            <w:r/>
            <w:r>
              <w:rPr>
                <w:b w:val="0"/>
                <w:sz w:val="14"/>
              </w:rPr>
              <w:t>2</w:t>
            </w:r>
          </w:p>
        </w:tc>
        <w:tc>
          <w:tcPr>
            <w:tcW w:type="dxa" w:w="1950"/>
          </w:tcPr>
          <w:p>
            <w:r/>
            <w:r>
              <w:rPr>
                <w:b w:val="0"/>
                <w:sz w:val="14"/>
              </w:rPr>
              <w:t>Sample Conveyor 2 feed/loading verification</w:t>
            </w:r>
          </w:p>
        </w:tc>
        <w:tc>
          <w:tcPr>
            <w:tcW w:type="dxa" w:w="1950"/>
          </w:tcPr>
          <w:p>
            <w:r/>
            <w:r>
              <w:rPr>
                <w:b w:val="0"/>
                <w:sz w:val="14"/>
              </w:rPr>
              <w:t>Process verification</w:t>
            </w:r>
          </w:p>
        </w:tc>
        <w:tc>
          <w:tcPr>
            <w:tcW w:type="dxa" w:w="1950"/>
          </w:tcPr>
          <w:p>
            <w:r/>
            <w:r>
              <w:rPr>
                <w:b w:val="0"/>
                <w:sz w:val="14"/>
              </w:rPr>
              <w:t>Measure width/feed; live tracking check without presumption; residual containment only</w:t>
            </w:r>
          </w:p>
        </w:tc>
        <w:tc>
          <w:tcPr>
            <w:tcW w:type="dxa" w:w="1950"/>
          </w:tcPr>
          <w:p>
            <w:r/>
            <w:r>
              <w:rPr>
                <w:b w:val="0"/>
                <w:sz w:val="14"/>
              </w:rPr>
              <w:t>Sample 2</w:t>
            </w:r>
          </w:p>
        </w:tc>
      </w:tr>
      <w:tr>
        <w:trPr>
          <w:cantSplit/>
        </w:trPr>
        <w:tc>
          <w:tcPr>
            <w:tcW w:type="dxa" w:w="1950"/>
          </w:tcPr>
          <w:p>
            <w:r/>
            <w:r>
              <w:rPr>
                <w:b w:val="0"/>
                <w:sz w:val="14"/>
              </w:rPr>
              <w:t>2</w:t>
            </w:r>
          </w:p>
        </w:tc>
        <w:tc>
          <w:tcPr>
            <w:tcW w:type="dxa" w:w="1950"/>
          </w:tcPr>
          <w:p>
            <w:r/>
            <w:r>
              <w:rPr>
                <w:b w:val="0"/>
                <w:sz w:val="14"/>
              </w:rPr>
              <w:t>W10 source review / barrier feasibility</w:t>
            </w:r>
          </w:p>
        </w:tc>
        <w:tc>
          <w:tcPr>
            <w:tcW w:type="dxa" w:w="1950"/>
          </w:tcPr>
          <w:p>
            <w:r/>
            <w:r>
              <w:rPr>
                <w:b w:val="0"/>
                <w:sz w:val="14"/>
              </w:rPr>
              <w:t>Engineering verification / concept</w:t>
            </w:r>
          </w:p>
        </w:tc>
        <w:tc>
          <w:tcPr>
            <w:tcW w:type="dxa" w:w="1950"/>
          </w:tcPr>
          <w:p>
            <w:r/>
            <w:r>
              <w:rPr>
                <w:b w:val="0"/>
                <w:sz w:val="14"/>
              </w:rPr>
              <w:t>Tracking envelope; geometry; source contributors; barrier clearance/access if justified</w:t>
            </w:r>
          </w:p>
        </w:tc>
        <w:tc>
          <w:tcPr>
            <w:tcW w:type="dxa" w:w="1950"/>
          </w:tcPr>
          <w:p>
            <w:r/>
            <w:r>
              <w:rPr>
                <w:b w:val="0"/>
                <w:sz w:val="14"/>
              </w:rPr>
              <w:t>W10</w:t>
            </w:r>
          </w:p>
        </w:tc>
      </w:tr>
      <w:tr>
        <w:trPr>
          <w:cantSplit/>
        </w:trPr>
        <w:tc>
          <w:tcPr>
            <w:tcW w:type="dxa" w:w="1950"/>
          </w:tcPr>
          <w:p>
            <w:r/>
            <w:r>
              <w:rPr>
                <w:b w:val="0"/>
                <w:sz w:val="14"/>
              </w:rPr>
              <w:t>2</w:t>
            </w:r>
          </w:p>
        </w:tc>
        <w:tc>
          <w:tcPr>
            <w:tcW w:type="dxa" w:w="1950"/>
          </w:tcPr>
          <w:p>
            <w:r/>
            <w:r>
              <w:rPr>
                <w:b w:val="0"/>
                <w:sz w:val="14"/>
              </w:rPr>
              <w:t>L3 alignment/tracking verification</w:t>
            </w:r>
          </w:p>
        </w:tc>
        <w:tc>
          <w:tcPr>
            <w:tcW w:type="dxa" w:w="1950"/>
          </w:tcPr>
          <w:p>
            <w:r/>
            <w:r>
              <w:rPr>
                <w:b w:val="0"/>
                <w:sz w:val="14"/>
              </w:rPr>
              <w:t>Mechanical verification</w:t>
            </w:r>
          </w:p>
        </w:tc>
        <w:tc>
          <w:tcPr>
            <w:tcW w:type="dxa" w:w="1950"/>
          </w:tcPr>
          <w:p>
            <w:r/>
            <w:r>
              <w:rPr>
                <w:b w:val="0"/>
                <w:sz w:val="14"/>
              </w:rPr>
              <w:t>Quantify tail-end geometry; live tracking; correct/disposition; retain causal qualification</w:t>
            </w:r>
          </w:p>
        </w:tc>
        <w:tc>
          <w:tcPr>
            <w:tcW w:type="dxa" w:w="1950"/>
          </w:tcPr>
          <w:p>
            <w:r/>
            <w:r>
              <w:rPr>
                <w:b w:val="0"/>
                <w:sz w:val="14"/>
              </w:rPr>
              <w:t>L3</w:t>
            </w:r>
          </w:p>
        </w:tc>
      </w:tr>
      <w:tr>
        <w:trPr>
          <w:cantSplit/>
        </w:trPr>
        <w:tc>
          <w:tcPr>
            <w:tcW w:type="dxa" w:w="1950"/>
          </w:tcPr>
          <w:p>
            <w:r/>
            <w:r>
              <w:rPr>
                <w:b w:val="0"/>
                <w:sz w:val="14"/>
              </w:rPr>
              <w:t>3</w:t>
            </w:r>
          </w:p>
        </w:tc>
        <w:tc>
          <w:tcPr>
            <w:tcW w:type="dxa" w:w="1950"/>
          </w:tcPr>
          <w:p>
            <w:r/>
            <w:r>
              <w:rPr>
                <w:b w:val="0"/>
                <w:sz w:val="14"/>
              </w:rPr>
              <w:t>Screens water escape investigation</w:t>
            </w:r>
          </w:p>
        </w:tc>
        <w:tc>
          <w:tcPr>
            <w:tcW w:type="dxa" w:w="1950"/>
          </w:tcPr>
          <w:p>
            <w:r/>
            <w:r>
              <w:rPr>
                <w:b w:val="0"/>
                <w:sz w:val="14"/>
              </w:rPr>
              <w:t>Shutdown inspection / design input</w:t>
            </w:r>
          </w:p>
        </w:tc>
        <w:tc>
          <w:tcPr>
            <w:tcW w:type="dxa" w:w="1950"/>
          </w:tcPr>
          <w:p>
            <w:r/>
            <w:r>
              <w:rPr>
                <w:b w:val="0"/>
                <w:sz w:val="14"/>
              </w:rPr>
              <w:t>Identify actual escape mechanism before detailed modification; operating proof</w:t>
            </w:r>
          </w:p>
        </w:tc>
        <w:tc>
          <w:tcPr>
            <w:tcW w:type="dxa" w:w="1950"/>
          </w:tcPr>
          <w:p>
            <w:r/>
            <w:r>
              <w:rPr>
                <w:b w:val="0"/>
                <w:sz w:val="14"/>
              </w:rPr>
              <w:t>Screens</w:t>
            </w:r>
          </w:p>
        </w:tc>
      </w:tr>
      <w:tr>
        <w:trPr>
          <w:cantSplit/>
        </w:trPr>
        <w:tc>
          <w:tcPr>
            <w:tcW w:type="dxa" w:w="1950"/>
          </w:tcPr>
          <w:p>
            <w:r/>
            <w:r>
              <w:rPr>
                <w:b w:val="0"/>
                <w:sz w:val="14"/>
              </w:rPr>
              <w:t>3</w:t>
            </w:r>
          </w:p>
        </w:tc>
        <w:tc>
          <w:tcPr>
            <w:tcW w:type="dxa" w:w="1950"/>
          </w:tcPr>
          <w:p>
            <w:r/>
            <w:r>
              <w:rPr>
                <w:b w:val="0"/>
                <w:sz w:val="14"/>
              </w:rPr>
              <w:t>Screens structural assessment</w:t>
            </w:r>
          </w:p>
        </w:tc>
        <w:tc>
          <w:tcPr>
            <w:tcW w:type="dxa" w:w="1950"/>
          </w:tcPr>
          <w:p>
            <w:r/>
            <w:r>
              <w:rPr>
                <w:b w:val="0"/>
                <w:sz w:val="14"/>
              </w:rPr>
              <w:t>Structural</w:t>
            </w:r>
          </w:p>
        </w:tc>
        <w:tc>
          <w:tcPr>
            <w:tcW w:type="dxa" w:w="1950"/>
          </w:tcPr>
          <w:p>
            <w:r/>
            <w:r>
              <w:rPr>
                <w:b w:val="0"/>
                <w:sz w:val="14"/>
              </w:rPr>
              <w:t>Member/cut/notch/section-loss assessment; capacity and repair disposition</w:t>
            </w:r>
          </w:p>
        </w:tc>
        <w:tc>
          <w:tcPr>
            <w:tcW w:type="dxa" w:w="1950"/>
          </w:tcPr>
          <w:p>
            <w:r/>
            <w:r>
              <w:rPr>
                <w:b w:val="0"/>
                <w:sz w:val="14"/>
              </w:rPr>
              <w:t>Screens</w:t>
            </w:r>
          </w:p>
        </w:tc>
      </w:tr>
      <w:tr>
        <w:trPr>
          <w:cantSplit/>
        </w:trPr>
        <w:tc>
          <w:tcPr>
            <w:tcW w:type="dxa" w:w="1950"/>
          </w:tcPr>
          <w:p>
            <w:r/>
            <w:r>
              <w:rPr>
                <w:b w:val="0"/>
                <w:sz w:val="14"/>
              </w:rPr>
              <w:t>3</w:t>
            </w:r>
          </w:p>
        </w:tc>
        <w:tc>
          <w:tcPr>
            <w:tcW w:type="dxa" w:w="1950"/>
          </w:tcPr>
          <w:p>
            <w:r/>
            <w:r>
              <w:rPr>
                <w:b w:val="0"/>
                <w:sz w:val="14"/>
              </w:rPr>
              <w:t>L1 structural + clearance verification</w:t>
            </w:r>
          </w:p>
        </w:tc>
        <w:tc>
          <w:tcPr>
            <w:tcW w:type="dxa" w:w="1950"/>
          </w:tcPr>
          <w:p>
            <w:r/>
            <w:r>
              <w:rPr>
                <w:b w:val="0"/>
                <w:sz w:val="14"/>
              </w:rPr>
              <w:t>Structural / mechanical</w:t>
            </w:r>
          </w:p>
        </w:tc>
        <w:tc>
          <w:tcPr>
            <w:tcW w:type="dxa" w:w="1950"/>
          </w:tcPr>
          <w:p>
            <w:r/>
            <w:r>
              <w:rPr>
                <w:b w:val="0"/>
                <w:sz w:val="14"/>
              </w:rPr>
              <w:t>Capacity/repair assessment; representative belt clearance; reduce recurring fines/moisture</w:t>
            </w:r>
          </w:p>
        </w:tc>
        <w:tc>
          <w:tcPr>
            <w:tcW w:type="dxa" w:w="1950"/>
          </w:tcPr>
          <w:p>
            <w:r/>
            <w:r>
              <w:rPr>
                <w:b w:val="0"/>
                <w:sz w:val="14"/>
              </w:rPr>
              <w:t>L1</w:t>
            </w:r>
          </w:p>
        </w:tc>
      </w:tr>
      <w:tr>
        <w:trPr>
          <w:cantSplit/>
        </w:trPr>
        <w:tc>
          <w:tcPr>
            <w:tcW w:type="dxa" w:w="1950"/>
          </w:tcPr>
          <w:p>
            <w:r/>
            <w:r>
              <w:rPr>
                <w:b w:val="0"/>
                <w:sz w:val="14"/>
              </w:rPr>
              <w:t>5</w:t>
            </w:r>
          </w:p>
        </w:tc>
        <w:tc>
          <w:tcPr>
            <w:tcW w:type="dxa" w:w="1950"/>
          </w:tcPr>
          <w:p>
            <w:r/>
            <w:r>
              <w:rPr>
                <w:b w:val="0"/>
                <w:sz w:val="14"/>
              </w:rPr>
              <w:t>Trip/restart + housekeeping governance</w:t>
            </w:r>
          </w:p>
        </w:tc>
        <w:tc>
          <w:tcPr>
            <w:tcW w:type="dxa" w:w="1950"/>
          </w:tcPr>
          <w:p>
            <w:r/>
            <w:r>
              <w:rPr>
                <w:b w:val="0"/>
                <w:sz w:val="14"/>
              </w:rPr>
              <w:t>Operational</w:t>
            </w:r>
          </w:p>
        </w:tc>
        <w:tc>
          <w:tcPr>
            <w:tcW w:type="dxa" w:w="1950"/>
          </w:tcPr>
          <w:p>
            <w:r/>
            <w:r>
              <w:rPr>
                <w:b w:val="0"/>
                <w:sz w:val="14"/>
              </w:rPr>
              <w:t>Confirm procedure, responsibilities, controlled laydown/recovery and repeat-accumulation trending</w:t>
            </w:r>
          </w:p>
        </w:tc>
        <w:tc>
          <w:tcPr>
            <w:tcW w:type="dxa" w:w="1950"/>
          </w:tcPr>
          <w:p>
            <w:r/>
            <w:r>
              <w:rPr>
                <w:b w:val="0"/>
                <w:sz w:val="14"/>
              </w:rPr>
              <w:t>System-wide</w:t>
            </w:r>
          </w:p>
        </w:tc>
      </w:tr>
    </w:tbl>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PART XII — CONCLUSION</w:t>
            </w:r>
          </w:p>
        </w:tc>
      </w:tr>
    </w:tbl>
    <w:p>
      <w:pPr>
        <w:pStyle w:val="Heading1"/>
        <w:keepNext/>
      </w:pPr>
      <w:r>
        <w:rPr>
          <w:rFonts w:ascii="Arial" w:hAnsi="Arial"/>
          <w:b/>
        </w:rPr>
        <w:t>29 Conclusion</w:t>
      </w:r>
    </w:p>
    <w:p>
      <w:pPr>
        <w:pStyle w:val="BodyText"/>
        <w:keepLines w:val="0"/>
        <w:spacing w:after="80" w:line="252" w:lineRule="auto"/>
      </w:pPr>
      <w:r>
        <w:t>The Combined Product Spillage Audit indicates that spillage across the inspected Wessels Mine material-handling route is not the result of one isolated defect or one universal equipment failure. The combined evidence supports a broader engineering conclusion: the inspected system presents a material- and process-containment problem expressed through several different mechanisms at different locations.</w:t>
      </w:r>
    </w:p>
    <w:p>
      <w:pPr>
        <w:pStyle w:val="BodyText"/>
        <w:keepLines w:val="0"/>
        <w:spacing w:after="80" w:line="252" w:lineRule="auto"/>
      </w:pPr>
      <w:r>
        <w:t>The dominant recurring system-level pattern is fines/carryback. CV06 demonstrates a directly compromised cleaner condition, while CV09 demonstrates that material can be removed from the belt yet still become plant-area spillage if cleaner-removed fines are not retained inside the intended discharge/process envelope. Effective fines control therefore requires both effective belt cleaning and controlled return of the removed material to the process.</w:t>
      </w:r>
    </w:p>
    <w:p>
      <w:pPr>
        <w:pStyle w:val="BodyText"/>
        <w:keepLines w:val="0"/>
        <w:spacing w:after="80" w:line="252" w:lineRule="auto"/>
      </w:pPr>
      <w:r>
        <w:t>Coarse/mixed-product loss at W10 and the Sample Conveyors requires control of the usable carrying envelope through the appropriate combination of feed, geometry, tracking and local secondary containment. Sample Conveyor 2 retains a feed/loading/containment concern without proven significant mistracking, while Sample Conveyor 3 additionally supports lateral offset/mistracking with unmeasured magnitude. U4 provides the strongest local tracking-to-product-loss case; L3 remains an alignment/offset verification item without an equivalent proven significant solid-product causal chain.</w:t>
      </w:r>
    </w:p>
    <w:p>
      <w:pPr>
        <w:pStyle w:val="BodyText"/>
        <w:keepLines w:val="0"/>
        <w:spacing w:after="80" w:line="252" w:lineRule="auto"/>
      </w:pPr>
      <w:r>
        <w:t>At the Screens, active process-water loss of containment is directly verified while the precise equipment-level escape mechanism remains to be established. Severe corrosion/deterioration and cut/notched supports are also verified, but remaining structural capacity and the historical reason for those alterations require competent structural assessment. L1 similarly requires the extensive accumulation, previous/intermittent belt contact evidence, concrete deterioration and steel deterioration to remain coordinated but analytically separate.</w:t>
      </w:r>
    </w:p>
    <w:p>
      <w:pPr>
        <w:pStyle w:val="BodyText"/>
      </w:pPr>
      <w:r>
        <w:t>The audit also distinguishes chronic source-generated spillage from event-driven material handling. Product deliberately removed during an authorised trip/restart intervention may require containment, accountability and recovery, but should not automatically be interpreted as evidence of a chronic mechanical failure at the deposit location.</w:t>
      </w:r>
    </w:p>
    <w:p>
      <w:pPr>
        <w:pStyle w:val="BodyText"/>
      </w:pPr>
      <w:r>
        <w:t>Across all these mechanisms, the governing engineering principle is to keep the combined product — fines and coarse/lump ore — within the intended process/material-handling envelope throughout transit, and keep process water within its intended operating envelope, using controls appropriate to the specific failure mechanism and local geometry. The report therefore does not recommend one identical cleaner, skirt, barrier or mechanical modification throughout the system; what can be standardised is the required engineering function and close-out philosophy.</w:t>
      </w:r>
    </w:p>
    <w:p>
      <w:pPr>
        <w:pStyle w:val="BodyText"/>
      </w:pPr>
      <w:r>
        <w:t>The recommended programme should be closed through an evidence-based cycle: as-found evidence → verification/measurement → corrective design or control → implementation → representative operating proof → as-left record → monitoring/closure. Housekeeping remains essential for access, recovery and safe operation, but it is not evidence that the initiating mechanism has been corrected.</w:t>
      </w:r>
    </w:p>
    <w:p>
      <w:pPr>
        <w:pStyle w:val="BodyText"/>
      </w:pPr>
      <w:r>
        <w:t>The ultimate objective is not simply a cleaner plant floor. It is a material-handling system in which product and process media remain controlled through the intended process, local exceptions are addressed according to verified mechanism and geometry, and unavoidable losses or interventions are contained, recoverable and deliberately managed.</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FINAL TAKEAWAY</w:t>
            </w:r>
          </w:p>
        </w:tc>
        <w:tc>
          <w:tcPr>
            <w:tcW w:type="dxa" w:w="4876"/>
            <w:shd w:fill="EEF3F8"/>
            <w:tcMar>
              <w:top w:w="80" w:type="dxa"/>
              <w:start w:w="100" w:type="dxa"/>
              <w:bottom w:w="80" w:type="dxa"/>
              <w:end w:w="100" w:type="dxa"/>
            </w:tcMar>
            <w:vAlign w:val="center"/>
          </w:tcPr>
          <w:p>
            <w:r/>
            <w:r>
              <w:rPr>
                <w:b w:val="0"/>
                <w:sz w:val="18"/>
              </w:rPr>
              <w:t>The goal is not simply a cleaner plant floor. It is a material-handling system in which product and process water remain controlled through their intended envelopes, source mechanisms are corrected where practicable, and unavoidable losses are contained, recoverable and deliberately managed.</w:t>
            </w:r>
          </w:p>
        </w:tc>
      </w:tr>
    </w:tbl>
    <w:p>
      <w:pPr>
        <w:pStyle w:val="Heading1"/>
        <w:keepNext/>
      </w:pPr>
      <w:r>
        <w:rPr>
          <w:rFonts w:ascii="Arial" w:hAnsi="Arial"/>
          <w:b/>
        </w:rPr>
        <w:t>30 Technical Review and Report Issue Sign-off</w:t>
      </w:r>
    </w:p>
    <w:p>
      <w:pPr>
        <w:pStyle w:val="BodyText"/>
        <w:keepLines w:val="0"/>
        <w:spacing w:after="80" w:line="252" w:lineRule="auto"/>
      </w:pPr>
      <w:r>
        <w:t>This V0.3 document is the first compiled Phase 7 technical/content draft and remains NOT FOR ISSUE. The evidence-to-action consistency review has passed, but outstanding site measurements/verification, competent structural assessments, engineer review of conceptual drawings, final priority/rating closure where applicable, Phase 8 publication styling, automatic registers/cross-references and formal authorization remain subsequent controlled tasks.</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3251"/>
        <w:gridCol w:w="3251"/>
        <w:gridCol w:w="3251"/>
      </w:tblGrid>
      <w:tr>
        <w:trPr>
          <w:cantSplit/>
          <w:cantSplit/>
        </w:trPr>
        <w:tc>
          <w:tcPr>
            <w:tcW w:type="dxa" w:w="2304"/>
            <w:shd w:fill="DCE6F1"/>
            <w:tcMar>
              <w:top w:w="70" w:type="dxa"/>
              <w:start w:w="80" w:type="dxa"/>
              <w:bottom w:w="70" w:type="dxa"/>
              <w:end w:w="80" w:type="dxa"/>
            </w:tcMar>
          </w:tcPr>
          <w:p>
            <w:pPr>
              <w:keepLines/>
            </w:pPr>
            <w:r/>
            <w:r>
              <w:rPr>
                <w:rFonts w:ascii="Arial" w:hAnsi="Arial"/>
                <w:b/>
                <w:color w:val="17365D"/>
                <w:sz w:val="15"/>
              </w:rPr>
              <w:t>Role</w:t>
            </w:r>
          </w:p>
        </w:tc>
        <w:tc>
          <w:tcPr>
            <w:tcW w:type="dxa" w:w="3888"/>
            <w:shd w:fill="DCE6F1"/>
            <w:tcMar>
              <w:top w:w="70" w:type="dxa"/>
              <w:start w:w="80" w:type="dxa"/>
              <w:bottom w:w="70" w:type="dxa"/>
              <w:end w:w="80" w:type="dxa"/>
            </w:tcMar>
          </w:tcPr>
          <w:p>
            <w:pPr>
              <w:keepLines/>
            </w:pPr>
            <w:r/>
            <w:r>
              <w:rPr>
                <w:rFonts w:ascii="Arial" w:hAnsi="Arial"/>
                <w:b/>
                <w:color w:val="17365D"/>
                <w:sz w:val="15"/>
              </w:rPr>
              <w:t>Name</w:t>
            </w:r>
          </w:p>
        </w:tc>
        <w:tc>
          <w:tcPr>
            <w:tcW w:type="dxa" w:w="4176"/>
            <w:shd w:fill="DCE6F1"/>
            <w:tcMar>
              <w:top w:w="70" w:type="dxa"/>
              <w:start w:w="80" w:type="dxa"/>
              <w:bottom w:w="70" w:type="dxa"/>
              <w:end w:w="80" w:type="dxa"/>
            </w:tcMar>
          </w:tcPr>
          <w:p>
            <w:pPr>
              <w:keepLines/>
            </w:pPr>
            <w:r/>
            <w:r>
              <w:rPr>
                <w:rFonts w:ascii="Arial" w:hAnsi="Arial"/>
                <w:b/>
                <w:color w:val="17365D"/>
                <w:sz w:val="15"/>
              </w:rPr>
              <w:t>Status</w:t>
            </w:r>
          </w:p>
        </w:tc>
      </w:tr>
      <w:tr>
        <w:trPr>
          <w:cantSplit/>
          <w:cantSplit/>
        </w:trPr>
        <w:tc>
          <w:tcPr>
            <w:tcW w:type="dxa" w:w="2304"/>
            <w:tcMar>
              <w:top w:w="65" w:type="dxa"/>
              <w:start w:w="80" w:type="dxa"/>
              <w:bottom w:w="65" w:type="dxa"/>
              <w:end w:w="80" w:type="dxa"/>
            </w:tcMar>
          </w:tcPr>
          <w:p>
            <w:pPr>
              <w:keepLines/>
            </w:pPr>
            <w:r/>
            <w:r>
              <w:rPr>
                <w:rFonts w:ascii="Arial" w:hAnsi="Arial"/>
                <w:b w:val="0"/>
                <w:color w:val="262626"/>
                <w:sz w:val="16"/>
              </w:rPr>
              <w:t>Prepared by</w:t>
            </w:r>
          </w:p>
        </w:tc>
        <w:tc>
          <w:tcPr>
            <w:tcW w:type="dxa" w:w="3888"/>
            <w:tcMar>
              <w:top w:w="65" w:type="dxa"/>
              <w:start w:w="80" w:type="dxa"/>
              <w:bottom w:w="65" w:type="dxa"/>
              <w:end w:w="80" w:type="dxa"/>
            </w:tcMar>
          </w:tcPr>
          <w:p>
            <w:pPr>
              <w:keepLines/>
            </w:pPr>
            <w:r/>
            <w:r>
              <w:rPr>
                <w:rFonts w:ascii="Arial" w:hAnsi="Arial"/>
                <w:b w:val="0"/>
                <w:color w:val="262626"/>
                <w:sz w:val="16"/>
              </w:rPr>
              <w:t>Inspection &amp; Specification Services cc.</w:t>
            </w:r>
          </w:p>
        </w:tc>
        <w:tc>
          <w:tcPr>
            <w:tcW w:type="dxa" w:w="4176"/>
            <w:tcMar>
              <w:top w:w="65" w:type="dxa"/>
              <w:start w:w="80" w:type="dxa"/>
              <w:bottom w:w="65" w:type="dxa"/>
              <w:end w:w="80" w:type="dxa"/>
            </w:tcMar>
          </w:tcPr>
          <w:p>
            <w:r/>
            <w:r>
              <w:rPr>
                <w:b w:val="0"/>
              </w:rPr>
              <w:t>V0.3 compilation draft prepared</w:t>
            </w:r>
          </w:p>
        </w:tc>
      </w:tr>
      <w:tr>
        <w:trPr>
          <w:cantSplit/>
          <w:cantSplit/>
        </w:trPr>
        <w:tc>
          <w:tcPr>
            <w:tcW w:type="dxa" w:w="2304"/>
            <w:tcMar>
              <w:top w:w="65" w:type="dxa"/>
              <w:start w:w="80" w:type="dxa"/>
              <w:bottom w:w="65" w:type="dxa"/>
              <w:end w:w="80" w:type="dxa"/>
            </w:tcMar>
          </w:tcPr>
          <w:p>
            <w:pPr>
              <w:keepLines/>
            </w:pPr>
            <w:r/>
            <w:r>
              <w:rPr>
                <w:rFonts w:ascii="Arial" w:hAnsi="Arial"/>
                <w:b w:val="0"/>
                <w:color w:val="262626"/>
                <w:sz w:val="16"/>
              </w:rPr>
              <w:t>Technical review</w:t>
            </w:r>
          </w:p>
        </w:tc>
        <w:tc>
          <w:tcPr>
            <w:tcW w:type="dxa" w:w="3888"/>
            <w:tcMar>
              <w:top w:w="65" w:type="dxa"/>
              <w:start w:w="80" w:type="dxa"/>
              <w:bottom w:w="65" w:type="dxa"/>
              <w:end w:w="80" w:type="dxa"/>
            </w:tcMar>
          </w:tcPr>
          <w:p>
            <w:pPr>
              <w:keepLines/>
            </w:pPr>
            <w:r/>
            <w:r>
              <w:rPr>
                <w:rFonts w:ascii="Arial" w:hAnsi="Arial"/>
                <w:b w:val="0"/>
                <w:color w:val="262626"/>
                <w:sz w:val="16"/>
              </w:rPr>
              <w:t>[TO BE COMPLETED]</w:t>
            </w:r>
          </w:p>
        </w:tc>
        <w:tc>
          <w:tcPr>
            <w:tcW w:type="dxa" w:w="4176"/>
            <w:tcMar>
              <w:top w:w="65" w:type="dxa"/>
              <w:start w:w="80" w:type="dxa"/>
              <w:bottom w:w="65" w:type="dxa"/>
              <w:end w:w="80" w:type="dxa"/>
            </w:tcMar>
          </w:tcPr>
          <w:p>
            <w:r/>
            <w:r>
              <w:rPr>
                <w:b w:val="0"/>
              </w:rPr>
              <w:t>Pending engineer / technical review</w:t>
            </w:r>
          </w:p>
        </w:tc>
      </w:tr>
      <w:tr>
        <w:trPr>
          <w:cantSplit/>
          <w:cantSplit/>
        </w:trPr>
        <w:tc>
          <w:tcPr>
            <w:tcW w:type="dxa" w:w="2304"/>
            <w:tcMar>
              <w:top w:w="65" w:type="dxa"/>
              <w:start w:w="80" w:type="dxa"/>
              <w:bottom w:w="65" w:type="dxa"/>
              <w:end w:w="80" w:type="dxa"/>
            </w:tcMar>
          </w:tcPr>
          <w:p>
            <w:pPr>
              <w:keepLines/>
            </w:pPr>
            <w:r/>
            <w:r>
              <w:rPr>
                <w:rFonts w:ascii="Arial" w:hAnsi="Arial"/>
                <w:b w:val="0"/>
                <w:color w:val="262626"/>
                <w:sz w:val="16"/>
              </w:rPr>
              <w:t>Client review / action alignment</w:t>
            </w:r>
          </w:p>
        </w:tc>
        <w:tc>
          <w:tcPr>
            <w:tcW w:type="dxa" w:w="3888"/>
            <w:tcMar>
              <w:top w:w="65" w:type="dxa"/>
              <w:start w:w="80" w:type="dxa"/>
              <w:bottom w:w="65" w:type="dxa"/>
              <w:end w:w="80" w:type="dxa"/>
            </w:tcMar>
          </w:tcPr>
          <w:p>
            <w:pPr>
              <w:keepLines/>
            </w:pPr>
            <w:r/>
            <w:r>
              <w:rPr>
                <w:rFonts w:ascii="Arial" w:hAnsi="Arial"/>
                <w:b w:val="0"/>
                <w:color w:val="262626"/>
                <w:sz w:val="16"/>
              </w:rPr>
              <w:t>[TO BE COMPLETED]</w:t>
            </w:r>
          </w:p>
        </w:tc>
        <w:tc>
          <w:tcPr>
            <w:tcW w:type="dxa" w:w="4176"/>
            <w:tcMar>
              <w:top w:w="65" w:type="dxa"/>
              <w:start w:w="80" w:type="dxa"/>
              <w:bottom w:w="65" w:type="dxa"/>
              <w:end w:w="80" w:type="dxa"/>
            </w:tcMar>
          </w:tcPr>
          <w:p>
            <w:r/>
            <w:r>
              <w:rPr>
                <w:b w:val="0"/>
              </w:rPr>
              <w:t>Pending</w:t>
            </w:r>
          </w:p>
        </w:tc>
      </w:tr>
      <w:tr>
        <w:trPr>
          <w:cantSplit/>
          <w:cantSplit/>
        </w:trPr>
        <w:tc>
          <w:tcPr>
            <w:tcW w:type="dxa" w:w="2304"/>
            <w:tcMar>
              <w:top w:w="65" w:type="dxa"/>
              <w:start w:w="80" w:type="dxa"/>
              <w:bottom w:w="65" w:type="dxa"/>
              <w:end w:w="80" w:type="dxa"/>
            </w:tcMar>
          </w:tcPr>
          <w:p>
            <w:pPr>
              <w:keepLines/>
            </w:pPr>
            <w:r/>
            <w:r>
              <w:rPr>
                <w:rFonts w:ascii="Arial" w:hAnsi="Arial"/>
                <w:b w:val="0"/>
                <w:color w:val="262626"/>
                <w:sz w:val="16"/>
              </w:rPr>
              <w:t>Approved for issue</w:t>
            </w:r>
          </w:p>
        </w:tc>
        <w:tc>
          <w:tcPr>
            <w:tcW w:type="dxa" w:w="3888"/>
            <w:tcMar>
              <w:top w:w="65" w:type="dxa"/>
              <w:start w:w="80" w:type="dxa"/>
              <w:bottom w:w="65" w:type="dxa"/>
              <w:end w:w="80" w:type="dxa"/>
            </w:tcMar>
          </w:tcPr>
          <w:p>
            <w:pPr>
              <w:keepLines/>
            </w:pPr>
            <w:r/>
            <w:r>
              <w:rPr>
                <w:rFonts w:ascii="Arial" w:hAnsi="Arial"/>
                <w:b w:val="0"/>
                <w:color w:val="262626"/>
                <w:sz w:val="16"/>
              </w:rPr>
              <w:t>[TO BE COMPLETED]</w:t>
            </w:r>
          </w:p>
        </w:tc>
        <w:tc>
          <w:tcPr>
            <w:tcW w:type="dxa" w:w="4176"/>
            <w:tcMar>
              <w:top w:w="65" w:type="dxa"/>
              <w:start w:w="80" w:type="dxa"/>
              <w:bottom w:w="65" w:type="dxa"/>
              <w:end w:w="80" w:type="dxa"/>
            </w:tcMar>
          </w:tcPr>
          <w:p>
            <w:r/>
            <w:r>
              <w:rPr>
                <w:b w:val="0"/>
              </w:rPr>
              <w:t>Pending</w:t>
            </w:r>
          </w:p>
        </w:tc>
      </w:tr>
    </w:tbl>
    <w:p>
      <w:pPr>
        <w:spacing w:after="0"/>
      </w:pPr>
      <w:r>
        <w:br w:type="page"/>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rPr>
          <w:cantSplit/>
        </w:trPr>
        <w:tc>
          <w:tcPr>
            <w:tcW w:type="dxa" w:w="9752"/>
            <w:shd w:fill="DCE6F1"/>
            <w:tcMar>
              <w:top w:w="80" w:type="dxa"/>
              <w:start w:w="120" w:type="dxa"/>
              <w:bottom w:w="80" w:type="dxa"/>
              <w:end w:w="120" w:type="dxa"/>
            </w:tcMar>
          </w:tcPr>
          <w:p>
            <w:pPr>
              <w:keepNext/>
              <w:jc w:val="center"/>
            </w:pPr>
            <w:r/>
            <w:r>
              <w:rPr>
                <w:rFonts w:ascii="Arial" w:hAnsi="Arial"/>
                <w:b/>
                <w:color w:val="17365D"/>
                <w:sz w:val="18"/>
              </w:rPr>
              <w:t>APPENDICES — TECHNICAL EVIDENCE BACKBONE</w:t>
            </w:r>
          </w:p>
        </w:tc>
      </w:tr>
    </w:tbl>
    <w:p>
      <w:pPr>
        <w:pStyle w:val="Heading1"/>
        <w:keepNext/>
      </w:pPr>
      <w:r>
        <w:rPr>
          <w:rFonts w:ascii="Arial" w:hAnsi="Arial"/>
          <w:b/>
        </w:rPr>
        <w:t>Appendix A — Full Asset-by-Asset Audit Matrix</w:t>
      </w:r>
    </w:p>
    <w:p>
      <w:pPr>
        <w:pStyle w:val="BodyText"/>
        <w:keepLines w:val="0"/>
        <w:spacing w:after="80" w:line="252" w:lineRule="auto"/>
      </w:pPr>
      <w:r>
        <w:t>Appendix A provides the report-facing 23-group asset audit matrix. It summarises each controlled inspection group, the strongest supported condition/mechanism, representative evidence references and the action direction. The full 197-row EVIDENCE_STORY_MATRIX_V0.1.csv remains the detailed item-level evidence source.</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rPr>
        <w:tc>
          <w:tcPr>
            <w:tcW w:type="dxa" w:w="1512"/>
            <w:vAlign w:val="center"/>
          </w:tcPr>
          <w:p>
            <w:r/>
            <w:r>
              <w:rPr>
                <w:b/>
                <w:sz w:val="13"/>
              </w:rPr>
              <w:t>Area</w:t>
            </w:r>
          </w:p>
        </w:tc>
        <w:tc>
          <w:tcPr>
            <w:tcW w:type="dxa" w:w="1656"/>
            <w:vAlign w:val="center"/>
          </w:tcPr>
          <w:p>
            <w:r/>
            <w:r>
              <w:rPr>
                <w:b/>
                <w:sz w:val="13"/>
              </w:rPr>
              <w:t>Asset / group</w:t>
            </w:r>
          </w:p>
        </w:tc>
        <w:tc>
          <w:tcPr>
            <w:tcW w:type="dxa" w:w="3168"/>
            <w:vAlign w:val="center"/>
          </w:tcPr>
          <w:p>
            <w:r/>
            <w:r>
              <w:rPr>
                <w:b/>
                <w:sz w:val="13"/>
              </w:rPr>
              <w:t>Verified condition / mechanism</w:t>
            </w:r>
          </w:p>
        </w:tc>
        <w:tc>
          <w:tcPr>
            <w:tcW w:type="dxa" w:w="1800"/>
            <w:vAlign w:val="center"/>
          </w:tcPr>
          <w:p>
            <w:r/>
            <w:r>
              <w:rPr>
                <w:b/>
                <w:sz w:val="13"/>
              </w:rPr>
              <w:t>Key evidence</w:t>
            </w:r>
          </w:p>
        </w:tc>
        <w:tc>
          <w:tcPr>
            <w:tcW w:type="dxa" w:w="2232"/>
            <w:vAlign w:val="center"/>
          </w:tcPr>
          <w:p>
            <w:r/>
            <w:r>
              <w:rPr>
                <w:b/>
                <w:sz w:val="13"/>
              </w:rPr>
              <w:t>Action direction</w:t>
            </w:r>
          </w:p>
        </w:tc>
      </w:tr>
      <w:tr>
        <w:trPr>
          <w:cantSplit/>
        </w:trPr>
        <w:tc>
          <w:tcPr>
            <w:tcW w:type="dxa" w:w="1512"/>
            <w:vAlign w:val="top"/>
          </w:tcPr>
          <w:p>
            <w:r/>
            <w:r>
              <w:rPr>
                <w:b w:val="0"/>
                <w:sz w:val="13"/>
              </w:rPr>
              <w:t>Underground - Central Block</w:t>
            </w:r>
          </w:p>
        </w:tc>
        <w:tc>
          <w:tcPr>
            <w:tcW w:type="dxa" w:w="1656"/>
            <w:vAlign w:val="top"/>
          </w:tcPr>
          <w:p>
            <w:r/>
            <w:r>
              <w:rPr>
                <w:b w:val="0"/>
                <w:sz w:val="13"/>
              </w:rPr>
              <w:t>Underground Crusher</w:t>
            </w:r>
          </w:p>
        </w:tc>
        <w:tc>
          <w:tcPr>
            <w:tcW w:type="dxa" w:w="3168"/>
            <w:vAlign w:val="top"/>
          </w:tcPr>
          <w:p>
            <w:r/>
            <w:r>
              <w:rPr>
                <w:b w:val="0"/>
                <w:sz w:val="13"/>
              </w:rPr>
              <w:t>Mixed coarse/lump and fines accumulation; local standing water visible, source unresolved.</w:t>
            </w:r>
          </w:p>
        </w:tc>
        <w:tc>
          <w:tcPr>
            <w:tcW w:type="dxa" w:w="1800"/>
            <w:vAlign w:val="top"/>
          </w:tcPr>
          <w:p>
            <w:r/>
            <w:r>
              <w:rPr>
                <w:b w:val="0"/>
                <w:sz w:val="13"/>
              </w:rPr>
              <w:t>UGCrusher-REF-001/-002</w:t>
            </w:r>
          </w:p>
        </w:tc>
        <w:tc>
          <w:tcPr>
            <w:tcW w:type="dxa" w:w="2232"/>
            <w:vAlign w:val="top"/>
          </w:tcPr>
          <w:p>
            <w:r/>
            <w:r>
              <w:rPr>
                <w:b w:val="0"/>
                <w:sz w:val="13"/>
              </w:rPr>
              <w:t>Investigate local material/water contributors; maintain source-control/carryback review.</w:t>
            </w:r>
          </w:p>
        </w:tc>
      </w:tr>
      <w:tr>
        <w:trPr>
          <w:cantSplit/>
        </w:trPr>
        <w:tc>
          <w:tcPr>
            <w:tcW w:type="dxa" w:w="1512"/>
            <w:vAlign w:val="top"/>
          </w:tcPr>
          <w:p>
            <w:r/>
            <w:r>
              <w:rPr>
                <w:b w:val="0"/>
                <w:sz w:val="13"/>
              </w:rPr>
              <w:t>Underground - Central Block</w:t>
            </w:r>
          </w:p>
        </w:tc>
        <w:tc>
          <w:tcPr>
            <w:tcW w:type="dxa" w:w="1656"/>
            <w:vAlign w:val="top"/>
          </w:tcPr>
          <w:p>
            <w:r/>
            <w:r>
              <w:rPr>
                <w:b w:val="0"/>
                <w:sz w:val="13"/>
              </w:rPr>
              <w:t>UC05-UC01 continuous system</w:t>
            </w:r>
          </w:p>
        </w:tc>
        <w:tc>
          <w:tcPr>
            <w:tcW w:type="dxa" w:w="3168"/>
            <w:vAlign w:val="top"/>
          </w:tcPr>
          <w:p>
            <w:r/>
            <w:r>
              <w:rPr>
                <w:b w:val="0"/>
                <w:sz w:val="13"/>
              </w:rPr>
              <w:t>Distributed dry fines with mixed coarse fragments; severe local mounds and clear comparator sections.</w:t>
            </w:r>
          </w:p>
        </w:tc>
        <w:tc>
          <w:tcPr>
            <w:tcW w:type="dxa" w:w="1800"/>
            <w:vAlign w:val="top"/>
          </w:tcPr>
          <w:p>
            <w:r/>
            <w:r>
              <w:rPr>
                <w:b w:val="0"/>
                <w:sz w:val="13"/>
              </w:rPr>
              <w:t>UGUC05_04_03_02_01-REF-005/-006/-007/-015</w:t>
            </w:r>
          </w:p>
        </w:tc>
        <w:tc>
          <w:tcPr>
            <w:tcW w:type="dxa" w:w="2232"/>
            <w:vAlign w:val="top"/>
          </w:tcPr>
          <w:p>
            <w:r/>
            <w:r>
              <w:rPr>
                <w:b w:val="0"/>
                <w:sz w:val="13"/>
              </w:rPr>
              <w:t>Treat as systemic recurrence/carryback story; target discharge/cleaner source control and trending.</w:t>
            </w:r>
          </w:p>
        </w:tc>
      </w:tr>
      <w:tr>
        <w:trPr>
          <w:cantSplit/>
        </w:trPr>
        <w:tc>
          <w:tcPr>
            <w:tcW w:type="dxa" w:w="1512"/>
            <w:vAlign w:val="top"/>
          </w:tcPr>
          <w:p>
            <w:r/>
            <w:r>
              <w:rPr>
                <w:b w:val="0"/>
                <w:sz w:val="13"/>
              </w:rPr>
              <w:t>Underground - Secondary Plant</w:t>
            </w:r>
          </w:p>
        </w:tc>
        <w:tc>
          <w:tcPr>
            <w:tcW w:type="dxa" w:w="1656"/>
            <w:vAlign w:val="top"/>
          </w:tcPr>
          <w:p>
            <w:r/>
            <w:r>
              <w:rPr>
                <w:b w:val="0"/>
                <w:sz w:val="13"/>
              </w:rPr>
              <w:t>U3 Conveyor</w:t>
            </w:r>
          </w:p>
        </w:tc>
        <w:tc>
          <w:tcPr>
            <w:tcW w:type="dxa" w:w="3168"/>
            <w:vAlign w:val="top"/>
          </w:tcPr>
          <w:p>
            <w:r/>
            <w:r>
              <w:rPr>
                <w:b w:val="0"/>
                <w:sz w:val="13"/>
              </w:rPr>
              <w:t>Local conveyor-adjacent fines/mixed accumulation; roadway coarse rock not automatically conveyor spillage.</w:t>
            </w:r>
          </w:p>
        </w:tc>
        <w:tc>
          <w:tcPr>
            <w:tcW w:type="dxa" w:w="1800"/>
            <w:vAlign w:val="top"/>
          </w:tcPr>
          <w:p>
            <w:r/>
            <w:r>
              <w:rPr>
                <w:b w:val="0"/>
                <w:sz w:val="13"/>
              </w:rPr>
              <w:t>UGU3-REF-004/-007</w:t>
            </w:r>
          </w:p>
        </w:tc>
        <w:tc>
          <w:tcPr>
            <w:tcW w:type="dxa" w:w="2232"/>
            <w:vAlign w:val="top"/>
          </w:tcPr>
          <w:p>
            <w:r/>
            <w:r>
              <w:rPr>
                <w:b w:val="0"/>
                <w:sz w:val="13"/>
              </w:rPr>
              <w:t>Maintain origin qualification; local inspection/source control as required.</w:t>
            </w:r>
          </w:p>
        </w:tc>
      </w:tr>
      <w:tr>
        <w:trPr>
          <w:cantSplit/>
        </w:trPr>
        <w:tc>
          <w:tcPr>
            <w:tcW w:type="dxa" w:w="1512"/>
            <w:vAlign w:val="top"/>
          </w:tcPr>
          <w:p>
            <w:r/>
            <w:r>
              <w:rPr>
                <w:b w:val="0"/>
                <w:sz w:val="13"/>
              </w:rPr>
              <w:t>Underground - Secondary Plant</w:t>
            </w:r>
          </w:p>
        </w:tc>
        <w:tc>
          <w:tcPr>
            <w:tcW w:type="dxa" w:w="1656"/>
            <w:vAlign w:val="top"/>
          </w:tcPr>
          <w:p>
            <w:r/>
            <w:r>
              <w:rPr>
                <w:b w:val="0"/>
                <w:sz w:val="13"/>
              </w:rPr>
              <w:t>U4 Tripper Car</w:t>
            </w:r>
          </w:p>
        </w:tc>
        <w:tc>
          <w:tcPr>
            <w:tcW w:type="dxa" w:w="3168"/>
            <w:vAlign w:val="top"/>
          </w:tcPr>
          <w:p>
            <w:r/>
            <w:r>
              <w:rPr>
                <w:b w:val="0"/>
                <w:sz w:val="13"/>
              </w:rPr>
              <w:t>Verified severe local spillage, lateral mistracking and one-sided product loss; alignment magnitude unmeasured.</w:t>
            </w:r>
          </w:p>
        </w:tc>
        <w:tc>
          <w:tcPr>
            <w:tcW w:type="dxa" w:w="1800"/>
            <w:vAlign w:val="top"/>
          </w:tcPr>
          <w:p>
            <w:r/>
            <w:r>
              <w:rPr>
                <w:b w:val="0"/>
                <w:sz w:val="13"/>
              </w:rPr>
              <w:t>UGU4-REF-009/-007; video -010</w:t>
            </w:r>
          </w:p>
        </w:tc>
        <w:tc>
          <w:tcPr>
            <w:tcW w:type="dxa" w:w="2232"/>
            <w:vAlign w:val="top"/>
          </w:tcPr>
          <w:p>
            <w:r/>
            <w:r>
              <w:rPr>
                <w:b w:val="0"/>
                <w:sz w:val="13"/>
              </w:rPr>
              <w:t>Quantify/correct geometry and prove full-travel tracking; assess cleaner separately.</w:t>
            </w:r>
          </w:p>
        </w:tc>
      </w:tr>
      <w:tr>
        <w:trPr>
          <w:cantSplit/>
        </w:trPr>
        <w:tc>
          <w:tcPr>
            <w:tcW w:type="dxa" w:w="1512"/>
            <w:vAlign w:val="top"/>
          </w:tcPr>
          <w:p>
            <w:r/>
            <w:r>
              <w:rPr>
                <w:b w:val="0"/>
                <w:sz w:val="13"/>
              </w:rPr>
              <w:t>Underground - Silos / Feeders</w:t>
            </w:r>
          </w:p>
        </w:tc>
        <w:tc>
          <w:tcPr>
            <w:tcW w:type="dxa" w:w="1656"/>
            <w:vAlign w:val="top"/>
          </w:tcPr>
          <w:p>
            <w:r/>
            <w:r>
              <w:rPr>
                <w:b w:val="0"/>
                <w:sz w:val="13"/>
              </w:rPr>
              <w:t>U5A Conveyor</w:t>
            </w:r>
          </w:p>
        </w:tc>
        <w:tc>
          <w:tcPr>
            <w:tcW w:type="dxa" w:w="3168"/>
            <w:vAlign w:val="top"/>
          </w:tcPr>
          <w:p>
            <w:r/>
            <w:r>
              <w:rPr>
                <w:b w:val="0"/>
                <w:sz w:val="13"/>
              </w:rPr>
              <w:t>Extensive/widespread dry fines; return-side geometry strongly consistent with carryback.</w:t>
            </w:r>
          </w:p>
        </w:tc>
        <w:tc>
          <w:tcPr>
            <w:tcW w:type="dxa" w:w="1800"/>
            <w:vAlign w:val="top"/>
          </w:tcPr>
          <w:p>
            <w:r/>
            <w:r>
              <w:rPr>
                <w:b w:val="0"/>
                <w:sz w:val="13"/>
              </w:rPr>
              <w:t>UG5A-REF-002/-004/-006</w:t>
            </w:r>
          </w:p>
        </w:tc>
        <w:tc>
          <w:tcPr>
            <w:tcW w:type="dxa" w:w="2232"/>
            <w:vAlign w:val="top"/>
          </w:tcPr>
          <w:p>
            <w:r/>
            <w:r>
              <w:rPr>
                <w:b w:val="0"/>
                <w:sz w:val="13"/>
              </w:rPr>
              <w:t>Prioritise cleaner/discharge source-control applicability review.</w:t>
            </w:r>
          </w:p>
        </w:tc>
      </w:tr>
      <w:tr>
        <w:trPr>
          <w:cantSplit/>
        </w:trPr>
        <w:tc>
          <w:tcPr>
            <w:tcW w:type="dxa" w:w="1512"/>
            <w:vAlign w:val="top"/>
          </w:tcPr>
          <w:p>
            <w:r/>
            <w:r>
              <w:rPr>
                <w:b w:val="0"/>
                <w:sz w:val="13"/>
              </w:rPr>
              <w:t>Underground - Silos / Feeders</w:t>
            </w:r>
          </w:p>
        </w:tc>
        <w:tc>
          <w:tcPr>
            <w:tcW w:type="dxa" w:w="1656"/>
            <w:vAlign w:val="top"/>
          </w:tcPr>
          <w:p>
            <w:r/>
            <w:r>
              <w:rPr>
                <w:b w:val="0"/>
                <w:sz w:val="13"/>
              </w:rPr>
              <w:t>U5B Conveyor</w:t>
            </w:r>
          </w:p>
        </w:tc>
        <w:tc>
          <w:tcPr>
            <w:tcW w:type="dxa" w:w="3168"/>
            <w:vAlign w:val="top"/>
          </w:tcPr>
          <w:p>
            <w:r/>
            <w:r>
              <w:rPr>
                <w:b w:val="0"/>
                <w:sz w:val="13"/>
              </w:rPr>
              <w:t>Trace-to-localised dry fines overall with some sizeable local deposits.</w:t>
            </w:r>
          </w:p>
        </w:tc>
        <w:tc>
          <w:tcPr>
            <w:tcW w:type="dxa" w:w="1800"/>
            <w:vAlign w:val="top"/>
          </w:tcPr>
          <w:p>
            <w:r/>
            <w:r>
              <w:rPr>
                <w:b w:val="0"/>
                <w:sz w:val="13"/>
              </w:rPr>
              <w:t>UG5B-REF-001/-003/-006</w:t>
            </w:r>
          </w:p>
        </w:tc>
        <w:tc>
          <w:tcPr>
            <w:tcW w:type="dxa" w:w="2232"/>
            <w:vAlign w:val="top"/>
          </w:tcPr>
          <w:p>
            <w:r/>
            <w:r>
              <w:rPr>
                <w:b w:val="0"/>
                <w:sz w:val="13"/>
              </w:rPr>
              <w:t>Maintain localised classification; inspect source/cleaner only as evidence warrants.</w:t>
            </w:r>
          </w:p>
        </w:tc>
      </w:tr>
      <w:tr>
        <w:trPr>
          <w:cantSplit/>
        </w:trPr>
        <w:tc>
          <w:tcPr>
            <w:tcW w:type="dxa" w:w="1512"/>
            <w:vAlign w:val="top"/>
          </w:tcPr>
          <w:p>
            <w:r/>
            <w:r>
              <w:rPr>
                <w:b w:val="0"/>
                <w:sz w:val="13"/>
              </w:rPr>
              <w:t>Surface - Screening / Transfer</w:t>
            </w:r>
          </w:p>
        </w:tc>
        <w:tc>
          <w:tcPr>
            <w:tcW w:type="dxa" w:w="1656"/>
            <w:vAlign w:val="top"/>
          </w:tcPr>
          <w:p>
            <w:r/>
            <w:r>
              <w:rPr>
                <w:b w:val="0"/>
                <w:sz w:val="13"/>
              </w:rPr>
              <w:t>W10</w:t>
            </w:r>
          </w:p>
        </w:tc>
        <w:tc>
          <w:tcPr>
            <w:tcW w:type="dxa" w:w="3168"/>
            <w:vAlign w:val="top"/>
          </w:tcPr>
          <w:p>
            <w:r/>
            <w:r>
              <w:rPr>
                <w:b w:val="0"/>
                <w:sz w:val="13"/>
              </w:rPr>
              <w:t>Substantial coarse/mixed product in restricted tunnel; exact initiating cause unresolved.</w:t>
            </w:r>
          </w:p>
        </w:tc>
        <w:tc>
          <w:tcPr>
            <w:tcW w:type="dxa" w:w="1800"/>
            <w:vAlign w:val="top"/>
          </w:tcPr>
          <w:p>
            <w:r/>
            <w:r>
              <w:rPr>
                <w:b w:val="0"/>
                <w:sz w:val="13"/>
              </w:rPr>
              <w:t>W10-REF-002/-010; supporting -006/-009</w:t>
            </w:r>
          </w:p>
        </w:tc>
        <w:tc>
          <w:tcPr>
            <w:tcW w:type="dxa" w:w="2232"/>
            <w:vAlign w:val="top"/>
          </w:tcPr>
          <w:p>
            <w:r/>
            <w:r>
              <w:rPr>
                <w:b w:val="0"/>
                <w:sz w:val="13"/>
              </w:rPr>
              <w:t>Verify tracking/geometry/source contributors; secondary barrier feasibility only if residual duty remains.</w:t>
            </w:r>
          </w:p>
        </w:tc>
      </w:tr>
      <w:tr>
        <w:trPr>
          <w:cantSplit/>
        </w:trPr>
        <w:tc>
          <w:tcPr>
            <w:tcW w:type="dxa" w:w="1512"/>
            <w:vAlign w:val="top"/>
          </w:tcPr>
          <w:p>
            <w:r/>
            <w:r>
              <w:rPr>
                <w:b w:val="0"/>
                <w:sz w:val="13"/>
              </w:rPr>
              <w:t>Surface - Screening / Transfer</w:t>
            </w:r>
          </w:p>
        </w:tc>
        <w:tc>
          <w:tcPr>
            <w:tcW w:type="dxa" w:w="1656"/>
            <w:vAlign w:val="top"/>
          </w:tcPr>
          <w:p>
            <w:r/>
            <w:r>
              <w:rPr>
                <w:b w:val="0"/>
                <w:sz w:val="13"/>
              </w:rPr>
              <w:t>CV01</w:t>
            </w:r>
          </w:p>
        </w:tc>
        <w:tc>
          <w:tcPr>
            <w:tcW w:type="dxa" w:w="3168"/>
            <w:vAlign w:val="top"/>
          </w:tcPr>
          <w:p>
            <w:r/>
            <w:r>
              <w:rPr>
                <w:b w:val="0"/>
                <w:sz w:val="13"/>
              </w:rPr>
              <w:t>Wet-fines/slurry and pooled water; severe visible roller surface damage; seized state not dynamically proven.</w:t>
            </w:r>
          </w:p>
        </w:tc>
        <w:tc>
          <w:tcPr>
            <w:tcW w:type="dxa" w:w="1800"/>
            <w:vAlign w:val="top"/>
          </w:tcPr>
          <w:p>
            <w:r/>
            <w:r>
              <w:rPr>
                <w:b w:val="0"/>
                <w:sz w:val="13"/>
              </w:rPr>
              <w:t>CV01-REF-001/-003</w:t>
            </w:r>
          </w:p>
        </w:tc>
        <w:tc>
          <w:tcPr>
            <w:tcW w:type="dxa" w:w="2232"/>
            <w:vAlign w:val="top"/>
          </w:tcPr>
          <w:p>
            <w:r/>
            <w:r>
              <w:rPr>
                <w:b w:val="0"/>
                <w:sz w:val="13"/>
              </w:rPr>
              <w:t>Correct maintenance condition; investigate water/material source without overclaim.</w:t>
            </w:r>
          </w:p>
        </w:tc>
      </w:tr>
      <w:tr>
        <w:trPr>
          <w:cantSplit/>
        </w:trPr>
        <w:tc>
          <w:tcPr>
            <w:tcW w:type="dxa" w:w="1512"/>
            <w:vAlign w:val="top"/>
          </w:tcPr>
          <w:p>
            <w:r/>
            <w:r>
              <w:rPr>
                <w:b w:val="0"/>
                <w:sz w:val="13"/>
              </w:rPr>
              <w:t>Surface - Screening / Transfer</w:t>
            </w:r>
          </w:p>
        </w:tc>
        <w:tc>
          <w:tcPr>
            <w:tcW w:type="dxa" w:w="1656"/>
            <w:vAlign w:val="top"/>
          </w:tcPr>
          <w:p>
            <w:r/>
            <w:r>
              <w:rPr>
                <w:b w:val="0"/>
                <w:sz w:val="13"/>
              </w:rPr>
              <w:t>CV02</w:t>
            </w:r>
          </w:p>
        </w:tc>
        <w:tc>
          <w:tcPr>
            <w:tcW w:type="dxa" w:w="3168"/>
            <w:vAlign w:val="top"/>
          </w:tcPr>
          <w:p>
            <w:r/>
            <w:r>
              <w:rPr>
                <w:b w:val="0"/>
                <w:sz w:val="13"/>
              </w:rPr>
              <w:t>Dry fines plus mixed/lump accumulation around transfer/return-side structure.</w:t>
            </w:r>
          </w:p>
        </w:tc>
        <w:tc>
          <w:tcPr>
            <w:tcW w:type="dxa" w:w="1800"/>
            <w:vAlign w:val="top"/>
          </w:tcPr>
          <w:p>
            <w:r/>
            <w:r>
              <w:rPr>
                <w:b w:val="0"/>
                <w:sz w:val="13"/>
              </w:rPr>
              <w:t>CV02-REF-001/-003</w:t>
            </w:r>
          </w:p>
        </w:tc>
        <w:tc>
          <w:tcPr>
            <w:tcW w:type="dxa" w:w="2232"/>
            <w:vAlign w:val="top"/>
          </w:tcPr>
          <w:p>
            <w:r/>
            <w:r>
              <w:rPr>
                <w:b w:val="0"/>
                <w:sz w:val="13"/>
              </w:rPr>
              <w:t>Supporting fines/carryback/source-control review.</w:t>
            </w:r>
          </w:p>
        </w:tc>
      </w:tr>
      <w:tr>
        <w:trPr>
          <w:cantSplit/>
        </w:trPr>
        <w:tc>
          <w:tcPr>
            <w:tcW w:type="dxa" w:w="1512"/>
            <w:vAlign w:val="top"/>
          </w:tcPr>
          <w:p>
            <w:r/>
            <w:r>
              <w:rPr>
                <w:b w:val="0"/>
                <w:sz w:val="13"/>
              </w:rPr>
              <w:t>Surface - Screening / Transfer</w:t>
            </w:r>
          </w:p>
        </w:tc>
        <w:tc>
          <w:tcPr>
            <w:tcW w:type="dxa" w:w="1656"/>
            <w:vAlign w:val="top"/>
          </w:tcPr>
          <w:p>
            <w:r/>
            <w:r>
              <w:rPr>
                <w:b w:val="0"/>
                <w:sz w:val="13"/>
              </w:rPr>
              <w:t>CV03</w:t>
            </w:r>
          </w:p>
        </w:tc>
        <w:tc>
          <w:tcPr>
            <w:tcW w:type="dxa" w:w="3168"/>
            <w:vAlign w:val="top"/>
          </w:tcPr>
          <w:p>
            <w:r/>
            <w:r>
              <w:rPr>
                <w:b w:val="0"/>
                <w:sz w:val="13"/>
              </w:rPr>
              <w:t>No significant spillage in inspected condition; clean comparator.</w:t>
            </w:r>
          </w:p>
        </w:tc>
        <w:tc>
          <w:tcPr>
            <w:tcW w:type="dxa" w:w="1800"/>
            <w:vAlign w:val="top"/>
          </w:tcPr>
          <w:p>
            <w:r/>
            <w:r>
              <w:rPr>
                <w:b w:val="0"/>
                <w:sz w:val="13"/>
              </w:rPr>
              <w:t>CV03-REF-002</w:t>
            </w:r>
          </w:p>
        </w:tc>
        <w:tc>
          <w:tcPr>
            <w:tcW w:type="dxa" w:w="2232"/>
            <w:vAlign w:val="top"/>
          </w:tcPr>
          <w:p>
            <w:r/>
            <w:r>
              <w:rPr>
                <w:b w:val="0"/>
                <w:sz w:val="13"/>
              </w:rPr>
              <w:t>Retain as time-specific comparator; no escalation.</w:t>
            </w:r>
          </w:p>
        </w:tc>
      </w:tr>
      <w:tr>
        <w:trPr>
          <w:cantSplit/>
        </w:trPr>
        <w:tc>
          <w:tcPr>
            <w:tcW w:type="dxa" w:w="1512"/>
            <w:vAlign w:val="top"/>
          </w:tcPr>
          <w:p>
            <w:r/>
            <w:r>
              <w:rPr>
                <w:b w:val="0"/>
                <w:sz w:val="13"/>
              </w:rPr>
              <w:t>Surface - Screening / Transfer</w:t>
            </w:r>
          </w:p>
        </w:tc>
        <w:tc>
          <w:tcPr>
            <w:tcW w:type="dxa" w:w="1656"/>
            <w:vAlign w:val="top"/>
          </w:tcPr>
          <w:p>
            <w:r/>
            <w:r>
              <w:rPr>
                <w:b w:val="0"/>
                <w:sz w:val="13"/>
              </w:rPr>
              <w:t>CV04</w:t>
            </w:r>
          </w:p>
        </w:tc>
        <w:tc>
          <w:tcPr>
            <w:tcW w:type="dxa" w:w="3168"/>
            <w:vAlign w:val="top"/>
          </w:tcPr>
          <w:p>
            <w:r/>
            <w:r>
              <w:rPr>
                <w:b w:val="0"/>
                <w:sz w:val="13"/>
              </w:rPr>
              <w:t>Saturated wet-fines/slurry and multiple piles; extensive/widespread.</w:t>
            </w:r>
          </w:p>
        </w:tc>
        <w:tc>
          <w:tcPr>
            <w:tcW w:type="dxa" w:w="1800"/>
            <w:vAlign w:val="top"/>
          </w:tcPr>
          <w:p>
            <w:r/>
            <w:r>
              <w:rPr>
                <w:b w:val="0"/>
                <w:sz w:val="13"/>
              </w:rPr>
              <w:t>CV04-REF-002/-005</w:t>
            </w:r>
          </w:p>
        </w:tc>
        <w:tc>
          <w:tcPr>
            <w:tcW w:type="dxa" w:w="2232"/>
            <w:vAlign w:val="top"/>
          </w:tcPr>
          <w:p>
            <w:r/>
            <w:r>
              <w:rPr>
                <w:b w:val="0"/>
                <w:sz w:val="13"/>
              </w:rPr>
              <w:t>Investigate water/material source and containment; source not inferred from stills.</w:t>
            </w:r>
          </w:p>
        </w:tc>
      </w:tr>
      <w:tr>
        <w:trPr>
          <w:cantSplit/>
        </w:trPr>
        <w:tc>
          <w:tcPr>
            <w:tcW w:type="dxa" w:w="1512"/>
            <w:vAlign w:val="top"/>
          </w:tcPr>
          <w:p>
            <w:r/>
            <w:r>
              <w:rPr>
                <w:b w:val="0"/>
                <w:sz w:val="13"/>
              </w:rPr>
              <w:t>Surface - Screening / Transfer</w:t>
            </w:r>
          </w:p>
        </w:tc>
        <w:tc>
          <w:tcPr>
            <w:tcW w:type="dxa" w:w="1656"/>
            <w:vAlign w:val="top"/>
          </w:tcPr>
          <w:p>
            <w:r/>
            <w:r>
              <w:rPr>
                <w:b w:val="0"/>
                <w:sz w:val="13"/>
              </w:rPr>
              <w:t>CV06</w:t>
            </w:r>
          </w:p>
        </w:tc>
        <w:tc>
          <w:tcPr>
            <w:tcW w:type="dxa" w:w="3168"/>
            <w:vAlign w:val="top"/>
          </w:tcPr>
          <w:p>
            <w:r/>
            <w:r>
              <w:rPr>
                <w:b w:val="0"/>
                <w:sz w:val="13"/>
              </w:rPr>
              <w:t>Displaced cleaner support bush/insert; scraper blades absent from working width.</w:t>
            </w:r>
          </w:p>
        </w:tc>
        <w:tc>
          <w:tcPr>
            <w:tcW w:type="dxa" w:w="1800"/>
            <w:vAlign w:val="top"/>
          </w:tcPr>
          <w:p>
            <w:r/>
            <w:r>
              <w:rPr>
                <w:b w:val="0"/>
                <w:sz w:val="13"/>
              </w:rPr>
              <w:t>CV06-REF-004/-005</w:t>
            </w:r>
          </w:p>
        </w:tc>
        <w:tc>
          <w:tcPr>
            <w:tcW w:type="dxa" w:w="2232"/>
            <w:vAlign w:val="top"/>
          </w:tcPr>
          <w:p>
            <w:r/>
            <w:r>
              <w:rPr>
                <w:b w:val="0"/>
                <w:sz w:val="13"/>
              </w:rPr>
              <w:t>Restore and verify cleaner function; investigate history where records permit.</w:t>
            </w:r>
          </w:p>
        </w:tc>
      </w:tr>
      <w:tr>
        <w:trPr>
          <w:cantSplit/>
        </w:trPr>
        <w:tc>
          <w:tcPr>
            <w:tcW w:type="dxa" w:w="1512"/>
            <w:vAlign w:val="top"/>
          </w:tcPr>
          <w:p>
            <w:r/>
            <w:r>
              <w:rPr>
                <w:b w:val="0"/>
                <w:sz w:val="13"/>
              </w:rPr>
              <w:t>Surface - Screening / Transfer</w:t>
            </w:r>
          </w:p>
        </w:tc>
        <w:tc>
          <w:tcPr>
            <w:tcW w:type="dxa" w:w="1656"/>
            <w:vAlign w:val="top"/>
          </w:tcPr>
          <w:p>
            <w:r/>
            <w:r>
              <w:rPr>
                <w:b w:val="0"/>
                <w:sz w:val="13"/>
              </w:rPr>
              <w:t>CV09</w:t>
            </w:r>
          </w:p>
        </w:tc>
        <w:tc>
          <w:tcPr>
            <w:tcW w:type="dxa" w:w="3168"/>
            <w:vAlign w:val="top"/>
          </w:tcPr>
          <w:p>
            <w:r/>
            <w:r>
              <w:rPr>
                <w:b w:val="0"/>
                <w:sz w:val="13"/>
              </w:rPr>
              <w:t>Wet-fines/slurry, contaminated cleaner region and active fallout; cleaner/containment interface case.</w:t>
            </w:r>
          </w:p>
        </w:tc>
        <w:tc>
          <w:tcPr>
            <w:tcW w:type="dxa" w:w="1800"/>
            <w:vAlign w:val="top"/>
          </w:tcPr>
          <w:p>
            <w:r/>
            <w:r>
              <w:rPr>
                <w:b w:val="0"/>
                <w:sz w:val="13"/>
              </w:rPr>
              <w:t>CV09-REF-002/-003; video -006</w:t>
            </w:r>
          </w:p>
        </w:tc>
        <w:tc>
          <w:tcPr>
            <w:tcW w:type="dxa" w:w="2232"/>
            <w:vAlign w:val="top"/>
          </w:tcPr>
          <w:p>
            <w:r/>
            <w:r>
              <w:rPr>
                <w:b w:val="0"/>
                <w:sz w:val="13"/>
              </w:rPr>
              <w:t>Develop/monitor cleaner + process-containment pilot from verified geometry.</w:t>
            </w:r>
          </w:p>
        </w:tc>
      </w:tr>
      <w:tr>
        <w:trPr>
          <w:cantSplit/>
        </w:trPr>
        <w:tc>
          <w:tcPr>
            <w:tcW w:type="dxa" w:w="1512"/>
            <w:vAlign w:val="top"/>
          </w:tcPr>
          <w:p>
            <w:r/>
            <w:r>
              <w:rPr>
                <w:b w:val="0"/>
                <w:sz w:val="13"/>
              </w:rPr>
              <w:t>Surface - Screening / Transfer</w:t>
            </w:r>
          </w:p>
        </w:tc>
        <w:tc>
          <w:tcPr>
            <w:tcW w:type="dxa" w:w="1656"/>
            <w:vAlign w:val="top"/>
          </w:tcPr>
          <w:p>
            <w:r/>
            <w:r>
              <w:rPr>
                <w:b w:val="0"/>
                <w:sz w:val="13"/>
              </w:rPr>
              <w:t>CV14</w:t>
            </w:r>
          </w:p>
        </w:tc>
        <w:tc>
          <w:tcPr>
            <w:tcW w:type="dxa" w:w="3168"/>
            <w:vAlign w:val="top"/>
          </w:tcPr>
          <w:p>
            <w:r/>
            <w:r>
              <w:rPr>
                <w:b w:val="0"/>
                <w:sz w:val="13"/>
              </w:rPr>
              <w:t>Trace/localised dry fines/carryback deposits.</w:t>
            </w:r>
          </w:p>
        </w:tc>
        <w:tc>
          <w:tcPr>
            <w:tcW w:type="dxa" w:w="1800"/>
            <w:vAlign w:val="top"/>
          </w:tcPr>
          <w:p>
            <w:r/>
            <w:r>
              <w:rPr>
                <w:b w:val="0"/>
                <w:sz w:val="13"/>
              </w:rPr>
              <w:t>CV14-REF-002</w:t>
            </w:r>
          </w:p>
        </w:tc>
        <w:tc>
          <w:tcPr>
            <w:tcW w:type="dxa" w:w="2232"/>
            <w:vAlign w:val="top"/>
          </w:tcPr>
          <w:p>
            <w:r/>
            <w:r>
              <w:rPr>
                <w:b w:val="0"/>
                <w:sz w:val="13"/>
              </w:rPr>
              <w:t>Supporting low-severity recurrence; no escalation.</w:t>
            </w:r>
          </w:p>
        </w:tc>
      </w:tr>
      <w:tr>
        <w:trPr>
          <w:cantSplit/>
        </w:trPr>
        <w:tc>
          <w:tcPr>
            <w:tcW w:type="dxa" w:w="1512"/>
            <w:vAlign w:val="top"/>
          </w:tcPr>
          <w:p>
            <w:r/>
            <w:r>
              <w:rPr>
                <w:b w:val="0"/>
                <w:sz w:val="13"/>
              </w:rPr>
              <w:t>Surface - Screening / Transfer</w:t>
            </w:r>
          </w:p>
        </w:tc>
        <w:tc>
          <w:tcPr>
            <w:tcW w:type="dxa" w:w="1656"/>
            <w:vAlign w:val="top"/>
          </w:tcPr>
          <w:p>
            <w:r/>
            <w:r>
              <w:rPr>
                <w:b w:val="0"/>
                <w:sz w:val="13"/>
              </w:rPr>
              <w:t>CV15</w:t>
            </w:r>
          </w:p>
        </w:tc>
        <w:tc>
          <w:tcPr>
            <w:tcW w:type="dxa" w:w="3168"/>
            <w:vAlign w:val="top"/>
          </w:tcPr>
          <w:p>
            <w:r/>
            <w:r>
              <w:rPr>
                <w:b w:val="0"/>
                <w:sz w:val="13"/>
              </w:rPr>
              <w:t>Extensive distributed fines/carryback around chute E-3181; stills mainly dry/dried.</w:t>
            </w:r>
          </w:p>
        </w:tc>
        <w:tc>
          <w:tcPr>
            <w:tcW w:type="dxa" w:w="1800"/>
            <w:vAlign w:val="top"/>
          </w:tcPr>
          <w:p>
            <w:r/>
            <w:r>
              <w:rPr>
                <w:b w:val="0"/>
                <w:sz w:val="13"/>
              </w:rPr>
              <w:t>CV15-REF-003/-004/-006</w:t>
            </w:r>
          </w:p>
        </w:tc>
        <w:tc>
          <w:tcPr>
            <w:tcW w:type="dxa" w:w="2232"/>
            <w:vAlign w:val="top"/>
          </w:tcPr>
          <w:p>
            <w:r/>
            <w:r>
              <w:rPr>
                <w:b w:val="0"/>
                <w:sz w:val="13"/>
              </w:rPr>
              <w:t>Assess cleaner/discharge functionality; retain wet-condition qualification.</w:t>
            </w:r>
          </w:p>
        </w:tc>
      </w:tr>
      <w:tr>
        <w:trPr>
          <w:cantSplit/>
        </w:trPr>
        <w:tc>
          <w:tcPr>
            <w:tcW w:type="dxa" w:w="1512"/>
            <w:vAlign w:val="top"/>
          </w:tcPr>
          <w:p>
            <w:r/>
            <w:r>
              <w:rPr>
                <w:b w:val="0"/>
                <w:sz w:val="13"/>
              </w:rPr>
              <w:t>Surface - Screening / Transfer</w:t>
            </w:r>
          </w:p>
        </w:tc>
        <w:tc>
          <w:tcPr>
            <w:tcW w:type="dxa" w:w="1656"/>
            <w:vAlign w:val="top"/>
          </w:tcPr>
          <w:p>
            <w:r/>
            <w:r>
              <w:rPr>
                <w:b w:val="0"/>
                <w:sz w:val="13"/>
              </w:rPr>
              <w:t>Screens / screen chutes</w:t>
            </w:r>
          </w:p>
        </w:tc>
        <w:tc>
          <w:tcPr>
            <w:tcW w:type="dxa" w:w="3168"/>
            <w:vAlign w:val="top"/>
          </w:tcPr>
          <w:p>
            <w:r/>
            <w:r>
              <w:rPr>
                <w:b w:val="0"/>
                <w:sz w:val="13"/>
              </w:rPr>
              <w:t>Active process-water escape verified; severe corrosion and cut/notched supports verified; exact mechanism/capacity unresolved.</w:t>
            </w:r>
          </w:p>
        </w:tc>
        <w:tc>
          <w:tcPr>
            <w:tcW w:type="dxa" w:w="1800"/>
            <w:vAlign w:val="top"/>
          </w:tcPr>
          <w:p>
            <w:r/>
            <w:r>
              <w:rPr>
                <w:b w:val="0"/>
                <w:sz w:val="13"/>
              </w:rPr>
              <w:t>Screen-REF-016/-017; photos -004/-006/-010</w:t>
            </w:r>
          </w:p>
        </w:tc>
        <w:tc>
          <w:tcPr>
            <w:tcW w:type="dxa" w:w="2232"/>
            <w:vAlign w:val="top"/>
          </w:tcPr>
          <w:p>
            <w:r/>
            <w:r>
              <w:rPr>
                <w:b w:val="0"/>
                <w:sz w:val="13"/>
              </w:rPr>
              <w:t>Shutdown water-mechanism investigation plus competent structural assessment.</w:t>
            </w:r>
          </w:p>
        </w:tc>
      </w:tr>
      <w:tr>
        <w:trPr>
          <w:cantSplit/>
        </w:trPr>
        <w:tc>
          <w:tcPr>
            <w:tcW w:type="dxa" w:w="1512"/>
            <w:vAlign w:val="top"/>
          </w:tcPr>
          <w:p>
            <w:r/>
            <w:r>
              <w:rPr>
                <w:b w:val="0"/>
                <w:sz w:val="13"/>
              </w:rPr>
              <w:t>Surface - Loading Station</w:t>
            </w:r>
          </w:p>
        </w:tc>
        <w:tc>
          <w:tcPr>
            <w:tcW w:type="dxa" w:w="1656"/>
            <w:vAlign w:val="top"/>
          </w:tcPr>
          <w:p>
            <w:r/>
            <w:r>
              <w:rPr>
                <w:b w:val="0"/>
                <w:sz w:val="13"/>
              </w:rPr>
              <w:t>L1 Conveyor</w:t>
            </w:r>
          </w:p>
        </w:tc>
        <w:tc>
          <w:tcPr>
            <w:tcW w:type="dxa" w:w="3168"/>
            <w:vAlign w:val="top"/>
          </w:tcPr>
          <w:p>
            <w:r/>
            <w:r>
              <w:rPr>
                <w:b w:val="0"/>
                <w:sz w:val="13"/>
              </w:rPr>
              <w:t>Extensive spillage; severe concrete/steel deterioration; previous/intermittent belt-contact evidence.</w:t>
            </w:r>
          </w:p>
        </w:tc>
        <w:tc>
          <w:tcPr>
            <w:tcW w:type="dxa" w:w="1800"/>
            <w:vAlign w:val="top"/>
          </w:tcPr>
          <w:p>
            <w:r/>
            <w:r>
              <w:rPr>
                <w:b w:val="0"/>
                <w:sz w:val="13"/>
              </w:rPr>
              <w:t>LoadoutStationL1-REF-007/-005/-008/-013</w:t>
            </w:r>
          </w:p>
        </w:tc>
        <w:tc>
          <w:tcPr>
            <w:tcW w:type="dxa" w:w="2232"/>
            <w:vAlign w:val="top"/>
          </w:tcPr>
          <w:p>
            <w:r/>
            <w:r>
              <w:rPr>
                <w:b w:val="0"/>
                <w:sz w:val="13"/>
              </w:rPr>
              <w:t>Competent structural assessment/repair plus representative belt-clearance verification.</w:t>
            </w:r>
          </w:p>
        </w:tc>
      </w:tr>
      <w:tr>
        <w:trPr>
          <w:cantSplit/>
        </w:trPr>
        <w:tc>
          <w:tcPr>
            <w:tcW w:type="dxa" w:w="1512"/>
            <w:vAlign w:val="top"/>
          </w:tcPr>
          <w:p>
            <w:r/>
            <w:r>
              <w:rPr>
                <w:b w:val="0"/>
                <w:sz w:val="13"/>
              </w:rPr>
              <w:t>Surface - Loading Station</w:t>
            </w:r>
          </w:p>
        </w:tc>
        <w:tc>
          <w:tcPr>
            <w:tcW w:type="dxa" w:w="1656"/>
            <w:vAlign w:val="top"/>
          </w:tcPr>
          <w:p>
            <w:r/>
            <w:r>
              <w:rPr>
                <w:b w:val="0"/>
                <w:sz w:val="13"/>
              </w:rPr>
              <w:t>L2 Conveyor</w:t>
            </w:r>
          </w:p>
        </w:tc>
        <w:tc>
          <w:tcPr>
            <w:tcW w:type="dxa" w:w="3168"/>
            <w:vAlign w:val="top"/>
          </w:tcPr>
          <w:p>
            <w:r/>
            <w:r>
              <w:rPr>
                <w:b w:val="0"/>
                <w:sz w:val="13"/>
              </w:rPr>
              <w:t>No significant spillage in inspected condition; photo/video comparator.</w:t>
            </w:r>
          </w:p>
        </w:tc>
        <w:tc>
          <w:tcPr>
            <w:tcW w:type="dxa" w:w="1800"/>
            <w:vAlign w:val="top"/>
          </w:tcPr>
          <w:p>
            <w:r/>
            <w:r>
              <w:rPr>
                <w:b w:val="0"/>
                <w:sz w:val="13"/>
              </w:rPr>
              <w:t>LoadoutStationL2-REF-004.jpg / REF-005 media</w:t>
            </w:r>
          </w:p>
        </w:tc>
        <w:tc>
          <w:tcPr>
            <w:tcW w:type="dxa" w:w="2232"/>
            <w:vAlign w:val="top"/>
          </w:tcPr>
          <w:p>
            <w:r/>
            <w:r>
              <w:rPr>
                <w:b w:val="0"/>
                <w:sz w:val="13"/>
              </w:rPr>
              <w:t>Retain time-specific clean comparator; no chronic claim.</w:t>
            </w:r>
          </w:p>
        </w:tc>
      </w:tr>
      <w:tr>
        <w:trPr>
          <w:cantSplit/>
        </w:trPr>
        <w:tc>
          <w:tcPr>
            <w:tcW w:type="dxa" w:w="1512"/>
            <w:vAlign w:val="top"/>
          </w:tcPr>
          <w:p>
            <w:r/>
            <w:r>
              <w:rPr>
                <w:b w:val="0"/>
                <w:sz w:val="13"/>
              </w:rPr>
              <w:t>Surface - Loading Station</w:t>
            </w:r>
          </w:p>
        </w:tc>
        <w:tc>
          <w:tcPr>
            <w:tcW w:type="dxa" w:w="1656"/>
            <w:vAlign w:val="top"/>
          </w:tcPr>
          <w:p>
            <w:r/>
            <w:r>
              <w:rPr>
                <w:b w:val="0"/>
                <w:sz w:val="13"/>
              </w:rPr>
              <w:t>L3 Conveyor</w:t>
            </w:r>
          </w:p>
        </w:tc>
        <w:tc>
          <w:tcPr>
            <w:tcW w:type="dxa" w:w="3168"/>
            <w:vAlign w:val="top"/>
          </w:tcPr>
          <w:p>
            <w:r/>
            <w:r>
              <w:rPr>
                <w:b w:val="0"/>
                <w:sz w:val="13"/>
              </w:rPr>
              <w:t>Tail-end offset supported but unmeasured; fines visible; significant solid-product causal chain not established.</w:t>
            </w:r>
          </w:p>
        </w:tc>
        <w:tc>
          <w:tcPr>
            <w:tcW w:type="dxa" w:w="1800"/>
            <w:vAlign w:val="top"/>
          </w:tcPr>
          <w:p>
            <w:r/>
            <w:r>
              <w:rPr>
                <w:b w:val="0"/>
                <w:sz w:val="13"/>
              </w:rPr>
              <w:t>LoadoutStationL3-REF-001/-007</w:t>
            </w:r>
          </w:p>
        </w:tc>
        <w:tc>
          <w:tcPr>
            <w:tcW w:type="dxa" w:w="2232"/>
            <w:vAlign w:val="top"/>
          </w:tcPr>
          <w:p>
            <w:r/>
            <w:r>
              <w:rPr>
                <w:b w:val="0"/>
                <w:sz w:val="13"/>
              </w:rPr>
              <w:t>Quantify alignment/live tracking; correct/disposition without overclaiming product loss.</w:t>
            </w:r>
          </w:p>
        </w:tc>
      </w:tr>
      <w:tr>
        <w:trPr>
          <w:cantSplit/>
        </w:trPr>
        <w:tc>
          <w:tcPr>
            <w:tcW w:type="dxa" w:w="1512"/>
            <w:vAlign w:val="top"/>
          </w:tcPr>
          <w:p>
            <w:r/>
            <w:r>
              <w:rPr>
                <w:b w:val="0"/>
                <w:sz w:val="13"/>
              </w:rPr>
              <w:t>Surface - Loading Station</w:t>
            </w:r>
          </w:p>
        </w:tc>
        <w:tc>
          <w:tcPr>
            <w:tcW w:type="dxa" w:w="1656"/>
            <w:vAlign w:val="top"/>
          </w:tcPr>
          <w:p>
            <w:r/>
            <w:r>
              <w:rPr>
                <w:b w:val="0"/>
                <w:sz w:val="13"/>
              </w:rPr>
              <w:t>L4 Conveyor</w:t>
            </w:r>
          </w:p>
        </w:tc>
        <w:tc>
          <w:tcPr>
            <w:tcW w:type="dxa" w:w="3168"/>
            <w:vAlign w:val="top"/>
          </w:tcPr>
          <w:p>
            <w:r/>
            <w:r>
              <w:rPr>
                <w:b w:val="0"/>
                <w:sz w:val="13"/>
              </w:rPr>
              <w:t>Localised dry fines and coarse/lump accumulation; operating stills generally contained.</w:t>
            </w:r>
          </w:p>
        </w:tc>
        <w:tc>
          <w:tcPr>
            <w:tcW w:type="dxa" w:w="1800"/>
            <w:vAlign w:val="top"/>
          </w:tcPr>
          <w:p>
            <w:r/>
            <w:r>
              <w:rPr>
                <w:b w:val="0"/>
                <w:sz w:val="13"/>
              </w:rPr>
              <w:t>LoadoutStationL4-REF-003/-004</w:t>
            </w:r>
          </w:p>
        </w:tc>
        <w:tc>
          <w:tcPr>
            <w:tcW w:type="dxa" w:w="2232"/>
            <w:vAlign w:val="top"/>
          </w:tcPr>
          <w:p>
            <w:r/>
            <w:r>
              <w:rPr>
                <w:b w:val="0"/>
                <w:sz w:val="13"/>
              </w:rPr>
              <w:t>Local source/containment review as required; no active-fall claim.</w:t>
            </w:r>
          </w:p>
        </w:tc>
      </w:tr>
      <w:tr>
        <w:trPr>
          <w:cantSplit/>
        </w:trPr>
        <w:tc>
          <w:tcPr>
            <w:tcW w:type="dxa" w:w="1512"/>
            <w:vAlign w:val="top"/>
          </w:tcPr>
          <w:p>
            <w:r/>
            <w:r>
              <w:rPr>
                <w:b w:val="0"/>
                <w:sz w:val="13"/>
              </w:rPr>
              <w:t>Surface - Loading Station</w:t>
            </w:r>
          </w:p>
        </w:tc>
        <w:tc>
          <w:tcPr>
            <w:tcW w:type="dxa" w:w="1656"/>
            <w:vAlign w:val="top"/>
          </w:tcPr>
          <w:p>
            <w:r/>
            <w:r>
              <w:rPr>
                <w:b w:val="0"/>
                <w:sz w:val="13"/>
              </w:rPr>
              <w:t>Sample Conveyor 1</w:t>
            </w:r>
          </w:p>
        </w:tc>
        <w:tc>
          <w:tcPr>
            <w:tcW w:type="dxa" w:w="3168"/>
            <w:vAlign w:val="top"/>
          </w:tcPr>
          <w:p>
            <w:r/>
            <w:r>
              <w:rPr>
                <w:b w:val="0"/>
                <w:sz w:val="13"/>
              </w:rPr>
              <w:t>Extensive/widespread mixed fines/coarse accumulation; adhered/dried deposits indicate sticky/moist history.</w:t>
            </w:r>
          </w:p>
        </w:tc>
        <w:tc>
          <w:tcPr>
            <w:tcW w:type="dxa" w:w="1800"/>
            <w:vAlign w:val="top"/>
          </w:tcPr>
          <w:p>
            <w:r/>
            <w:r>
              <w:rPr>
                <w:b w:val="0"/>
                <w:sz w:val="13"/>
              </w:rPr>
              <w:t>LoadoutStationSample1-REF-011/-008/-005</w:t>
            </w:r>
          </w:p>
        </w:tc>
        <w:tc>
          <w:tcPr>
            <w:tcW w:type="dxa" w:w="2232"/>
            <w:vAlign w:val="top"/>
          </w:tcPr>
          <w:p>
            <w:r/>
            <w:r>
              <w:rPr>
                <w:b w:val="0"/>
                <w:sz w:val="13"/>
              </w:rPr>
              <w:t>Supporting system consequence/source-control review; active wetness not proven.</w:t>
            </w:r>
          </w:p>
        </w:tc>
      </w:tr>
      <w:tr>
        <w:trPr>
          <w:cantSplit/>
        </w:trPr>
        <w:tc>
          <w:tcPr>
            <w:tcW w:type="dxa" w:w="1512"/>
            <w:vAlign w:val="top"/>
          </w:tcPr>
          <w:p>
            <w:r/>
            <w:r>
              <w:rPr>
                <w:b w:val="0"/>
                <w:sz w:val="13"/>
              </w:rPr>
              <w:t>Surface - Loading Station</w:t>
            </w:r>
          </w:p>
        </w:tc>
        <w:tc>
          <w:tcPr>
            <w:tcW w:type="dxa" w:w="1656"/>
            <w:vAlign w:val="top"/>
          </w:tcPr>
          <w:p>
            <w:r/>
            <w:r>
              <w:rPr>
                <w:b w:val="0"/>
                <w:sz w:val="13"/>
              </w:rPr>
              <w:t>Sample Conveyor 2</w:t>
            </w:r>
          </w:p>
        </w:tc>
        <w:tc>
          <w:tcPr>
            <w:tcW w:type="dxa" w:w="3168"/>
            <w:vAlign w:val="top"/>
          </w:tcPr>
          <w:p>
            <w:r/>
            <w:r>
              <w:rPr>
                <w:b w:val="0"/>
                <w:sz w:val="13"/>
              </w:rPr>
              <w:t>Coarse/lump product occupies substantial narrow belt width; containment loss; significant mistracking not established.</w:t>
            </w:r>
          </w:p>
        </w:tc>
        <w:tc>
          <w:tcPr>
            <w:tcW w:type="dxa" w:w="1800"/>
            <w:vAlign w:val="top"/>
          </w:tcPr>
          <w:p>
            <w:r/>
            <w:r>
              <w:rPr>
                <w:b w:val="0"/>
                <w:sz w:val="13"/>
              </w:rPr>
              <w:t>LoadoutStationSample2-REF-004/-006/-007</w:t>
            </w:r>
          </w:p>
        </w:tc>
        <w:tc>
          <w:tcPr>
            <w:tcW w:type="dxa" w:w="2232"/>
            <w:vAlign w:val="top"/>
          </w:tcPr>
          <w:p>
            <w:r/>
            <w:r>
              <w:rPr>
                <w:b w:val="0"/>
                <w:sz w:val="13"/>
              </w:rPr>
              <w:t>Verify feed/product/usable width and live tracking before secondary containment.</w:t>
            </w:r>
          </w:p>
        </w:tc>
      </w:tr>
      <w:tr>
        <w:trPr>
          <w:cantSplit/>
        </w:trPr>
        <w:tc>
          <w:tcPr>
            <w:tcW w:type="dxa" w:w="1512"/>
            <w:vAlign w:val="top"/>
          </w:tcPr>
          <w:p>
            <w:r/>
            <w:r>
              <w:rPr>
                <w:b w:val="0"/>
                <w:sz w:val="13"/>
              </w:rPr>
              <w:t>Surface - Loading Station</w:t>
            </w:r>
          </w:p>
        </w:tc>
        <w:tc>
          <w:tcPr>
            <w:tcW w:type="dxa" w:w="1656"/>
            <w:vAlign w:val="top"/>
          </w:tcPr>
          <w:p>
            <w:r/>
            <w:r>
              <w:rPr>
                <w:b w:val="0"/>
                <w:sz w:val="13"/>
              </w:rPr>
              <w:t>Sample Conveyor 3</w:t>
            </w:r>
          </w:p>
        </w:tc>
        <w:tc>
          <w:tcPr>
            <w:tcW w:type="dxa" w:w="3168"/>
            <w:vAlign w:val="top"/>
          </w:tcPr>
          <w:p>
            <w:r/>
            <w:r>
              <w:rPr>
                <w:b w:val="0"/>
                <w:sz w:val="13"/>
              </w:rPr>
              <w:t>Substantial solid/lump spillage, narrow carrying margin and visually supported mistracking; magnitude unmeasured.</w:t>
            </w:r>
          </w:p>
        </w:tc>
        <w:tc>
          <w:tcPr>
            <w:tcW w:type="dxa" w:w="1800"/>
            <w:vAlign w:val="top"/>
          </w:tcPr>
          <w:p>
            <w:r/>
            <w:r>
              <w:rPr>
                <w:b w:val="0"/>
                <w:sz w:val="13"/>
              </w:rPr>
              <w:t>LoadoutStationSample3-REF-013/-005/-002/-012</w:t>
            </w:r>
          </w:p>
        </w:tc>
        <w:tc>
          <w:tcPr>
            <w:tcW w:type="dxa" w:w="2232"/>
            <w:vAlign w:val="top"/>
          </w:tcPr>
          <w:p>
            <w:r/>
            <w:r>
              <w:rPr>
                <w:b w:val="0"/>
                <w:sz w:val="13"/>
              </w:rPr>
              <w:t>Verify feed/usable width; quantify/correct tracking; residual secondary containment if required.</w:t>
            </w:r>
          </w:p>
        </w:tc>
      </w:tr>
    </w:tbl>
    <w:p>
      <w:pPr>
        <w:pStyle w:val="Heading1"/>
        <w:keepNext/>
      </w:pPr>
      <w:r>
        <w:rPr>
          <w:rFonts w:ascii="Arial" w:hAnsi="Arial"/>
          <w:b/>
        </w:rPr>
        <w:t>Appendix B — Detailed Photographic Evidence Register</w:t>
      </w:r>
    </w:p>
    <w:p>
      <w:pPr>
        <w:pStyle w:val="BodyText"/>
        <w:keepLines w:val="0"/>
        <w:spacing w:after="80" w:line="252" w:lineRule="auto"/>
      </w:pPr>
      <w:r>
        <w:t>Appendix B provides the controlled photographic register by asset group. All 189 photographs remain retained in the repository and all 197 media items are inspector-reviewed/accepted in the evidence/story matrix. The grouped register below is for report traceability; the CSV remains the authoritative per-item classification record.</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rPr>
        <w:tc>
          <w:tcPr>
            <w:tcW w:type="dxa" w:w="1800"/>
            <w:vAlign w:val="center"/>
          </w:tcPr>
          <w:p>
            <w:r/>
            <w:r>
              <w:rPr>
                <w:b/>
                <w:sz w:val="13"/>
              </w:rPr>
              <w:t>Asset / group</w:t>
            </w:r>
          </w:p>
        </w:tc>
        <w:tc>
          <w:tcPr>
            <w:tcW w:type="dxa" w:w="648"/>
            <w:vAlign w:val="center"/>
          </w:tcPr>
          <w:p>
            <w:r/>
            <w:r>
              <w:rPr>
                <w:b/>
                <w:sz w:val="13"/>
              </w:rPr>
              <w:t>Photos</w:t>
            </w:r>
          </w:p>
        </w:tc>
        <w:tc>
          <w:tcPr>
            <w:tcW w:type="dxa" w:w="2304"/>
            <w:vAlign w:val="center"/>
          </w:tcPr>
          <w:p>
            <w:r/>
            <w:r>
              <w:rPr>
                <w:b/>
                <w:sz w:val="13"/>
              </w:rPr>
              <w:t>Canonical range / naming</w:t>
            </w:r>
          </w:p>
        </w:tc>
        <w:tc>
          <w:tcPr>
            <w:tcW w:type="dxa" w:w="2160"/>
            <w:vAlign w:val="center"/>
          </w:tcPr>
          <w:p>
            <w:r/>
            <w:r>
              <w:rPr>
                <w:b/>
                <w:sz w:val="13"/>
              </w:rPr>
              <w:t>Principal body candidates</w:t>
            </w:r>
          </w:p>
        </w:tc>
        <w:tc>
          <w:tcPr>
            <w:tcW w:type="dxa" w:w="3168"/>
            <w:vAlign w:val="center"/>
          </w:tcPr>
          <w:p>
            <w:r/>
            <w:r>
              <w:rPr>
                <w:b/>
                <w:sz w:val="13"/>
              </w:rPr>
              <w:t>Control note</w:t>
            </w:r>
          </w:p>
        </w:tc>
      </w:tr>
      <w:tr>
        <w:trPr>
          <w:cantSplit/>
        </w:trPr>
        <w:tc>
          <w:tcPr>
            <w:tcW w:type="dxa" w:w="1800"/>
            <w:vAlign w:val="top"/>
          </w:tcPr>
          <w:p>
            <w:r/>
            <w:r>
              <w:rPr>
                <w:b w:val="0"/>
                <w:sz w:val="13"/>
              </w:rPr>
              <w:t>Underground Crusher</w:t>
            </w:r>
          </w:p>
        </w:tc>
        <w:tc>
          <w:tcPr>
            <w:tcW w:type="dxa" w:w="648"/>
            <w:vAlign w:val="top"/>
          </w:tcPr>
          <w:p>
            <w:r/>
            <w:r>
              <w:rPr>
                <w:b w:val="0"/>
                <w:sz w:val="13"/>
              </w:rPr>
              <w:t>5</w:t>
            </w:r>
          </w:p>
        </w:tc>
        <w:tc>
          <w:tcPr>
            <w:tcW w:type="dxa" w:w="2304"/>
            <w:vAlign w:val="top"/>
          </w:tcPr>
          <w:p>
            <w:r/>
            <w:r>
              <w:rPr>
                <w:b w:val="0"/>
                <w:sz w:val="13"/>
              </w:rPr>
              <w:t>UGCrusher-REF-001..005</w:t>
            </w:r>
          </w:p>
        </w:tc>
        <w:tc>
          <w:tcPr>
            <w:tcW w:type="dxa" w:w="2160"/>
            <w:vAlign w:val="top"/>
          </w:tcPr>
          <w:p>
            <w:r/>
            <w:r>
              <w:rPr>
                <w:b w:val="0"/>
                <w:sz w:val="13"/>
              </w:rPr>
              <w:t>UGCrusher-REF-001/-002</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UC05-UC01 continuous system</w:t>
            </w:r>
          </w:p>
        </w:tc>
        <w:tc>
          <w:tcPr>
            <w:tcW w:type="dxa" w:w="648"/>
            <w:vAlign w:val="top"/>
          </w:tcPr>
          <w:p>
            <w:r/>
            <w:r>
              <w:rPr>
                <w:b w:val="0"/>
                <w:sz w:val="13"/>
              </w:rPr>
              <w:t>16</w:t>
            </w:r>
          </w:p>
        </w:tc>
        <w:tc>
          <w:tcPr>
            <w:tcW w:type="dxa" w:w="2304"/>
            <w:vAlign w:val="top"/>
          </w:tcPr>
          <w:p>
            <w:r/>
            <w:r>
              <w:rPr>
                <w:b w:val="0"/>
                <w:sz w:val="13"/>
              </w:rPr>
              <w:t>UGUC05_04_03_02_01-REF-001..016</w:t>
            </w:r>
          </w:p>
        </w:tc>
        <w:tc>
          <w:tcPr>
            <w:tcW w:type="dxa" w:w="2160"/>
            <w:vAlign w:val="top"/>
          </w:tcPr>
          <w:p>
            <w:r/>
            <w:r>
              <w:rPr>
                <w:b w:val="0"/>
                <w:sz w:val="13"/>
              </w:rPr>
              <w:t>UGUC05_04_03_02_01-REF-005/-006/-007/-015</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U3 Conveyor</w:t>
            </w:r>
          </w:p>
        </w:tc>
        <w:tc>
          <w:tcPr>
            <w:tcW w:type="dxa" w:w="648"/>
            <w:vAlign w:val="top"/>
          </w:tcPr>
          <w:p>
            <w:r/>
            <w:r>
              <w:rPr>
                <w:b w:val="0"/>
                <w:sz w:val="13"/>
              </w:rPr>
              <w:t>8</w:t>
            </w:r>
          </w:p>
        </w:tc>
        <w:tc>
          <w:tcPr>
            <w:tcW w:type="dxa" w:w="2304"/>
            <w:vAlign w:val="top"/>
          </w:tcPr>
          <w:p>
            <w:r/>
            <w:r>
              <w:rPr>
                <w:b w:val="0"/>
                <w:sz w:val="13"/>
              </w:rPr>
              <w:t>UGU3-REF-001..008</w:t>
            </w:r>
          </w:p>
        </w:tc>
        <w:tc>
          <w:tcPr>
            <w:tcW w:type="dxa" w:w="2160"/>
            <w:vAlign w:val="top"/>
          </w:tcPr>
          <w:p>
            <w:r/>
            <w:r>
              <w:rPr>
                <w:b w:val="0"/>
                <w:sz w:val="13"/>
              </w:rPr>
              <w:t>UGU3-REF-004/-007</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U4 Tripper Car</w:t>
            </w:r>
          </w:p>
        </w:tc>
        <w:tc>
          <w:tcPr>
            <w:tcW w:type="dxa" w:w="648"/>
            <w:vAlign w:val="top"/>
          </w:tcPr>
          <w:p>
            <w:r/>
            <w:r>
              <w:rPr>
                <w:b w:val="0"/>
                <w:sz w:val="13"/>
              </w:rPr>
              <w:t>11</w:t>
            </w:r>
          </w:p>
        </w:tc>
        <w:tc>
          <w:tcPr>
            <w:tcW w:type="dxa" w:w="2304"/>
            <w:vAlign w:val="top"/>
          </w:tcPr>
          <w:p>
            <w:r/>
            <w:r>
              <w:rPr>
                <w:b w:val="0"/>
                <w:sz w:val="13"/>
              </w:rPr>
              <w:t>UGU4 photos: REF-001..009, -011..012</w:t>
            </w:r>
          </w:p>
        </w:tc>
        <w:tc>
          <w:tcPr>
            <w:tcW w:type="dxa" w:w="2160"/>
            <w:vAlign w:val="top"/>
          </w:tcPr>
          <w:p>
            <w:r/>
            <w:r>
              <w:rPr>
                <w:b w:val="0"/>
                <w:sz w:val="13"/>
              </w:rPr>
              <w:t>UGU4-REF-009/-007; video -010</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U5A Conveyor</w:t>
            </w:r>
          </w:p>
        </w:tc>
        <w:tc>
          <w:tcPr>
            <w:tcW w:type="dxa" w:w="648"/>
            <w:vAlign w:val="top"/>
          </w:tcPr>
          <w:p>
            <w:r/>
            <w:r>
              <w:rPr>
                <w:b w:val="0"/>
                <w:sz w:val="13"/>
              </w:rPr>
              <w:t>9</w:t>
            </w:r>
          </w:p>
        </w:tc>
        <w:tc>
          <w:tcPr>
            <w:tcW w:type="dxa" w:w="2304"/>
            <w:vAlign w:val="top"/>
          </w:tcPr>
          <w:p>
            <w:r/>
            <w:r>
              <w:rPr>
                <w:b w:val="0"/>
                <w:sz w:val="13"/>
              </w:rPr>
              <w:t>UG5A-REF-001..009</w:t>
            </w:r>
          </w:p>
        </w:tc>
        <w:tc>
          <w:tcPr>
            <w:tcW w:type="dxa" w:w="2160"/>
            <w:vAlign w:val="top"/>
          </w:tcPr>
          <w:p>
            <w:r/>
            <w:r>
              <w:rPr>
                <w:b w:val="0"/>
                <w:sz w:val="13"/>
              </w:rPr>
              <w:t>UG5A-REF-002/-004/-006</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U5B Conveyor</w:t>
            </w:r>
          </w:p>
        </w:tc>
        <w:tc>
          <w:tcPr>
            <w:tcW w:type="dxa" w:w="648"/>
            <w:vAlign w:val="top"/>
          </w:tcPr>
          <w:p>
            <w:r/>
            <w:r>
              <w:rPr>
                <w:b w:val="0"/>
                <w:sz w:val="13"/>
              </w:rPr>
              <w:t>6</w:t>
            </w:r>
          </w:p>
        </w:tc>
        <w:tc>
          <w:tcPr>
            <w:tcW w:type="dxa" w:w="2304"/>
            <w:vAlign w:val="top"/>
          </w:tcPr>
          <w:p>
            <w:r/>
            <w:r>
              <w:rPr>
                <w:b w:val="0"/>
                <w:sz w:val="13"/>
              </w:rPr>
              <w:t>UG5B-REF-001..006</w:t>
            </w:r>
          </w:p>
        </w:tc>
        <w:tc>
          <w:tcPr>
            <w:tcW w:type="dxa" w:w="2160"/>
            <w:vAlign w:val="top"/>
          </w:tcPr>
          <w:p>
            <w:r/>
            <w:r>
              <w:rPr>
                <w:b w:val="0"/>
                <w:sz w:val="13"/>
              </w:rPr>
              <w:t>UG5B-REF-001/-003/-006</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W10</w:t>
            </w:r>
          </w:p>
        </w:tc>
        <w:tc>
          <w:tcPr>
            <w:tcW w:type="dxa" w:w="648"/>
            <w:vAlign w:val="top"/>
          </w:tcPr>
          <w:p>
            <w:r/>
            <w:r>
              <w:rPr>
                <w:b w:val="0"/>
                <w:sz w:val="13"/>
              </w:rPr>
              <w:t>12</w:t>
            </w:r>
          </w:p>
        </w:tc>
        <w:tc>
          <w:tcPr>
            <w:tcW w:type="dxa" w:w="2304"/>
            <w:vAlign w:val="top"/>
          </w:tcPr>
          <w:p>
            <w:r/>
            <w:r>
              <w:rPr>
                <w:b w:val="0"/>
                <w:sz w:val="13"/>
              </w:rPr>
              <w:t>W10-REF-001..012</w:t>
            </w:r>
          </w:p>
        </w:tc>
        <w:tc>
          <w:tcPr>
            <w:tcW w:type="dxa" w:w="2160"/>
            <w:vAlign w:val="top"/>
          </w:tcPr>
          <w:p>
            <w:r/>
            <w:r>
              <w:rPr>
                <w:b w:val="0"/>
                <w:sz w:val="13"/>
              </w:rPr>
              <w:t>W10-REF-002/-010; supporting -006/-009</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CV01</w:t>
            </w:r>
          </w:p>
        </w:tc>
        <w:tc>
          <w:tcPr>
            <w:tcW w:type="dxa" w:w="648"/>
            <w:vAlign w:val="top"/>
          </w:tcPr>
          <w:p>
            <w:r/>
            <w:r>
              <w:rPr>
                <w:b w:val="0"/>
                <w:sz w:val="13"/>
              </w:rPr>
              <w:t>4</w:t>
            </w:r>
          </w:p>
        </w:tc>
        <w:tc>
          <w:tcPr>
            <w:tcW w:type="dxa" w:w="2304"/>
            <w:vAlign w:val="top"/>
          </w:tcPr>
          <w:p>
            <w:r/>
            <w:r>
              <w:rPr>
                <w:b w:val="0"/>
                <w:sz w:val="13"/>
              </w:rPr>
              <w:t>CV01-REF-001..004</w:t>
            </w:r>
          </w:p>
        </w:tc>
        <w:tc>
          <w:tcPr>
            <w:tcW w:type="dxa" w:w="2160"/>
            <w:vAlign w:val="top"/>
          </w:tcPr>
          <w:p>
            <w:r/>
            <w:r>
              <w:rPr>
                <w:b w:val="0"/>
                <w:sz w:val="13"/>
              </w:rPr>
              <w:t>CV01-REF-001/-003</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CV02</w:t>
            </w:r>
          </w:p>
        </w:tc>
        <w:tc>
          <w:tcPr>
            <w:tcW w:type="dxa" w:w="648"/>
            <w:vAlign w:val="top"/>
          </w:tcPr>
          <w:p>
            <w:r/>
            <w:r>
              <w:rPr>
                <w:b w:val="0"/>
                <w:sz w:val="13"/>
              </w:rPr>
              <w:t>4</w:t>
            </w:r>
          </w:p>
        </w:tc>
        <w:tc>
          <w:tcPr>
            <w:tcW w:type="dxa" w:w="2304"/>
            <w:vAlign w:val="top"/>
          </w:tcPr>
          <w:p>
            <w:r/>
            <w:r>
              <w:rPr>
                <w:b w:val="0"/>
                <w:sz w:val="13"/>
              </w:rPr>
              <w:t>CV02-REF-001..004</w:t>
            </w:r>
          </w:p>
        </w:tc>
        <w:tc>
          <w:tcPr>
            <w:tcW w:type="dxa" w:w="2160"/>
            <w:vAlign w:val="top"/>
          </w:tcPr>
          <w:p>
            <w:r/>
            <w:r>
              <w:rPr>
                <w:b w:val="0"/>
                <w:sz w:val="13"/>
              </w:rPr>
              <w:t>CV02-REF-001/-003</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CV03</w:t>
            </w:r>
          </w:p>
        </w:tc>
        <w:tc>
          <w:tcPr>
            <w:tcW w:type="dxa" w:w="648"/>
            <w:vAlign w:val="top"/>
          </w:tcPr>
          <w:p>
            <w:r/>
            <w:r>
              <w:rPr>
                <w:b w:val="0"/>
                <w:sz w:val="13"/>
              </w:rPr>
              <w:t>3</w:t>
            </w:r>
          </w:p>
        </w:tc>
        <w:tc>
          <w:tcPr>
            <w:tcW w:type="dxa" w:w="2304"/>
            <w:vAlign w:val="top"/>
          </w:tcPr>
          <w:p>
            <w:r/>
            <w:r>
              <w:rPr>
                <w:b w:val="0"/>
                <w:sz w:val="13"/>
              </w:rPr>
              <w:t>CV03-REF-001..003</w:t>
            </w:r>
          </w:p>
        </w:tc>
        <w:tc>
          <w:tcPr>
            <w:tcW w:type="dxa" w:w="2160"/>
            <w:vAlign w:val="top"/>
          </w:tcPr>
          <w:p>
            <w:r/>
            <w:r>
              <w:rPr>
                <w:b w:val="0"/>
                <w:sz w:val="13"/>
              </w:rPr>
              <w:t>CV03-REF-002</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CV04</w:t>
            </w:r>
          </w:p>
        </w:tc>
        <w:tc>
          <w:tcPr>
            <w:tcW w:type="dxa" w:w="648"/>
            <w:vAlign w:val="top"/>
          </w:tcPr>
          <w:p>
            <w:r/>
            <w:r>
              <w:rPr>
                <w:b w:val="0"/>
                <w:sz w:val="13"/>
              </w:rPr>
              <w:t>5</w:t>
            </w:r>
          </w:p>
        </w:tc>
        <w:tc>
          <w:tcPr>
            <w:tcW w:type="dxa" w:w="2304"/>
            <w:vAlign w:val="top"/>
          </w:tcPr>
          <w:p>
            <w:r/>
            <w:r>
              <w:rPr>
                <w:b w:val="0"/>
                <w:sz w:val="13"/>
              </w:rPr>
              <w:t>CV04-REF-001..005</w:t>
            </w:r>
          </w:p>
        </w:tc>
        <w:tc>
          <w:tcPr>
            <w:tcW w:type="dxa" w:w="2160"/>
            <w:vAlign w:val="top"/>
          </w:tcPr>
          <w:p>
            <w:r/>
            <w:r>
              <w:rPr>
                <w:b w:val="0"/>
                <w:sz w:val="13"/>
              </w:rPr>
              <w:t>CV04-REF-002/-005</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CV06</w:t>
            </w:r>
          </w:p>
        </w:tc>
        <w:tc>
          <w:tcPr>
            <w:tcW w:type="dxa" w:w="648"/>
            <w:vAlign w:val="top"/>
          </w:tcPr>
          <w:p>
            <w:r/>
            <w:r>
              <w:rPr>
                <w:b w:val="0"/>
                <w:sz w:val="13"/>
              </w:rPr>
              <w:t>5</w:t>
            </w:r>
          </w:p>
        </w:tc>
        <w:tc>
          <w:tcPr>
            <w:tcW w:type="dxa" w:w="2304"/>
            <w:vAlign w:val="top"/>
          </w:tcPr>
          <w:p>
            <w:r/>
            <w:r>
              <w:rPr>
                <w:b w:val="0"/>
                <w:sz w:val="13"/>
              </w:rPr>
              <w:t>CV06-REF-001..005</w:t>
            </w:r>
          </w:p>
        </w:tc>
        <w:tc>
          <w:tcPr>
            <w:tcW w:type="dxa" w:w="2160"/>
            <w:vAlign w:val="top"/>
          </w:tcPr>
          <w:p>
            <w:r/>
            <w:r>
              <w:rPr>
                <w:b w:val="0"/>
                <w:sz w:val="13"/>
              </w:rPr>
              <w:t>CV06-REF-004/-005</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CV09</w:t>
            </w:r>
          </w:p>
        </w:tc>
        <w:tc>
          <w:tcPr>
            <w:tcW w:type="dxa" w:w="648"/>
            <w:vAlign w:val="top"/>
          </w:tcPr>
          <w:p>
            <w:r/>
            <w:r>
              <w:rPr>
                <w:b w:val="0"/>
                <w:sz w:val="13"/>
              </w:rPr>
              <w:t>5</w:t>
            </w:r>
          </w:p>
        </w:tc>
        <w:tc>
          <w:tcPr>
            <w:tcW w:type="dxa" w:w="2304"/>
            <w:vAlign w:val="top"/>
          </w:tcPr>
          <w:p>
            <w:r/>
            <w:r>
              <w:rPr>
                <w:b w:val="0"/>
                <w:sz w:val="13"/>
              </w:rPr>
              <w:t>CV09-REF-001..005</w:t>
            </w:r>
          </w:p>
        </w:tc>
        <w:tc>
          <w:tcPr>
            <w:tcW w:type="dxa" w:w="2160"/>
            <w:vAlign w:val="top"/>
          </w:tcPr>
          <w:p>
            <w:r/>
            <w:r>
              <w:rPr>
                <w:b w:val="0"/>
                <w:sz w:val="13"/>
              </w:rPr>
              <w:t>CV09-REF-002/-003; video -006</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CV14</w:t>
            </w:r>
          </w:p>
        </w:tc>
        <w:tc>
          <w:tcPr>
            <w:tcW w:type="dxa" w:w="648"/>
            <w:vAlign w:val="top"/>
          </w:tcPr>
          <w:p>
            <w:r/>
            <w:r>
              <w:rPr>
                <w:b w:val="0"/>
                <w:sz w:val="13"/>
              </w:rPr>
              <w:t>2</w:t>
            </w:r>
          </w:p>
        </w:tc>
        <w:tc>
          <w:tcPr>
            <w:tcW w:type="dxa" w:w="2304"/>
            <w:vAlign w:val="top"/>
          </w:tcPr>
          <w:p>
            <w:r/>
            <w:r>
              <w:rPr>
                <w:b w:val="0"/>
                <w:sz w:val="13"/>
              </w:rPr>
              <w:t>CV14-REF-001..002</w:t>
            </w:r>
          </w:p>
        </w:tc>
        <w:tc>
          <w:tcPr>
            <w:tcW w:type="dxa" w:w="2160"/>
            <w:vAlign w:val="top"/>
          </w:tcPr>
          <w:p>
            <w:r/>
            <w:r>
              <w:rPr>
                <w:b w:val="0"/>
                <w:sz w:val="13"/>
              </w:rPr>
              <w:t>CV14-REF-002</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CV15</w:t>
            </w:r>
          </w:p>
        </w:tc>
        <w:tc>
          <w:tcPr>
            <w:tcW w:type="dxa" w:w="648"/>
            <w:vAlign w:val="top"/>
          </w:tcPr>
          <w:p>
            <w:r/>
            <w:r>
              <w:rPr>
                <w:b w:val="0"/>
                <w:sz w:val="13"/>
              </w:rPr>
              <w:t>8</w:t>
            </w:r>
          </w:p>
        </w:tc>
        <w:tc>
          <w:tcPr>
            <w:tcW w:type="dxa" w:w="2304"/>
            <w:vAlign w:val="top"/>
          </w:tcPr>
          <w:p>
            <w:r/>
            <w:r>
              <w:rPr>
                <w:b w:val="0"/>
                <w:sz w:val="13"/>
              </w:rPr>
              <w:t>CV15-REF-001..008</w:t>
            </w:r>
          </w:p>
        </w:tc>
        <w:tc>
          <w:tcPr>
            <w:tcW w:type="dxa" w:w="2160"/>
            <w:vAlign w:val="top"/>
          </w:tcPr>
          <w:p>
            <w:r/>
            <w:r>
              <w:rPr>
                <w:b w:val="0"/>
                <w:sz w:val="13"/>
              </w:rPr>
              <w:t>CV15-REF-003/-004/-006</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Screens / screen chutes</w:t>
            </w:r>
          </w:p>
        </w:tc>
        <w:tc>
          <w:tcPr>
            <w:tcW w:type="dxa" w:w="648"/>
            <w:vAlign w:val="top"/>
          </w:tcPr>
          <w:p>
            <w:r/>
            <w:r>
              <w:rPr>
                <w:b w:val="0"/>
                <w:sz w:val="13"/>
              </w:rPr>
              <w:t>14</w:t>
            </w:r>
          </w:p>
        </w:tc>
        <w:tc>
          <w:tcPr>
            <w:tcW w:type="dxa" w:w="2304"/>
            <w:vAlign w:val="top"/>
          </w:tcPr>
          <w:p>
            <w:r/>
            <w:r>
              <w:rPr>
                <w:b w:val="0"/>
                <w:sz w:val="13"/>
              </w:rPr>
              <w:t>Screen-REF-001..014</w:t>
            </w:r>
          </w:p>
        </w:tc>
        <w:tc>
          <w:tcPr>
            <w:tcW w:type="dxa" w:w="2160"/>
            <w:vAlign w:val="top"/>
          </w:tcPr>
          <w:p>
            <w:r/>
            <w:r>
              <w:rPr>
                <w:b w:val="0"/>
                <w:sz w:val="13"/>
              </w:rPr>
              <w:t>Screen-REF-016/-017; photos -004/-006/-010</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L1 Conveyor</w:t>
            </w:r>
          </w:p>
        </w:tc>
        <w:tc>
          <w:tcPr>
            <w:tcW w:type="dxa" w:w="648"/>
            <w:vAlign w:val="top"/>
          </w:tcPr>
          <w:p>
            <w:r/>
            <w:r>
              <w:rPr>
                <w:b w:val="0"/>
                <w:sz w:val="13"/>
              </w:rPr>
              <w:t>18</w:t>
            </w:r>
          </w:p>
        </w:tc>
        <w:tc>
          <w:tcPr>
            <w:tcW w:type="dxa" w:w="2304"/>
            <w:vAlign w:val="top"/>
          </w:tcPr>
          <w:p>
            <w:r/>
            <w:r>
              <w:rPr>
                <w:b w:val="0"/>
                <w:sz w:val="13"/>
              </w:rPr>
              <w:t>LoadoutStationL1-REF-001..018</w:t>
            </w:r>
          </w:p>
        </w:tc>
        <w:tc>
          <w:tcPr>
            <w:tcW w:type="dxa" w:w="2160"/>
            <w:vAlign w:val="top"/>
          </w:tcPr>
          <w:p>
            <w:r/>
            <w:r>
              <w:rPr>
                <w:b w:val="0"/>
                <w:sz w:val="13"/>
              </w:rPr>
              <w:t>LoadoutStationL1-REF-007/-005/-008/-013</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L2 Conveyor</w:t>
            </w:r>
          </w:p>
        </w:tc>
        <w:tc>
          <w:tcPr>
            <w:tcW w:type="dxa" w:w="648"/>
            <w:vAlign w:val="top"/>
          </w:tcPr>
          <w:p>
            <w:r/>
            <w:r>
              <w:rPr>
                <w:b w:val="0"/>
                <w:sz w:val="13"/>
              </w:rPr>
              <w:t>6</w:t>
            </w:r>
          </w:p>
        </w:tc>
        <w:tc>
          <w:tcPr>
            <w:tcW w:type="dxa" w:w="2304"/>
            <w:vAlign w:val="top"/>
          </w:tcPr>
          <w:p>
            <w:r/>
            <w:r>
              <w:rPr>
                <w:b w:val="0"/>
                <w:sz w:val="13"/>
              </w:rPr>
              <w:t>LoadoutStationL2-REF-001..006.jpg</w:t>
            </w:r>
          </w:p>
        </w:tc>
        <w:tc>
          <w:tcPr>
            <w:tcW w:type="dxa" w:w="2160"/>
            <w:vAlign w:val="top"/>
          </w:tcPr>
          <w:p>
            <w:r/>
            <w:r>
              <w:rPr>
                <w:b w:val="0"/>
                <w:sz w:val="13"/>
              </w:rPr>
              <w:t>LoadoutStationL2-REF-004.jpg / REF-005 media</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L3 Conveyor</w:t>
            </w:r>
          </w:p>
        </w:tc>
        <w:tc>
          <w:tcPr>
            <w:tcW w:type="dxa" w:w="648"/>
            <w:vAlign w:val="top"/>
          </w:tcPr>
          <w:p>
            <w:r/>
            <w:r>
              <w:rPr>
                <w:b w:val="0"/>
                <w:sz w:val="13"/>
              </w:rPr>
              <w:t>8</w:t>
            </w:r>
          </w:p>
        </w:tc>
        <w:tc>
          <w:tcPr>
            <w:tcW w:type="dxa" w:w="2304"/>
            <w:vAlign w:val="top"/>
          </w:tcPr>
          <w:p>
            <w:r/>
            <w:r>
              <w:rPr>
                <w:b w:val="0"/>
                <w:sz w:val="13"/>
              </w:rPr>
              <w:t>LoadoutStationL3-REF-001..008</w:t>
            </w:r>
          </w:p>
        </w:tc>
        <w:tc>
          <w:tcPr>
            <w:tcW w:type="dxa" w:w="2160"/>
            <w:vAlign w:val="top"/>
          </w:tcPr>
          <w:p>
            <w:r/>
            <w:r>
              <w:rPr>
                <w:b w:val="0"/>
                <w:sz w:val="13"/>
              </w:rPr>
              <w:t>LoadoutStationL3-REF-001/-007</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L4 Conveyor</w:t>
            </w:r>
          </w:p>
        </w:tc>
        <w:tc>
          <w:tcPr>
            <w:tcW w:type="dxa" w:w="648"/>
            <w:vAlign w:val="top"/>
          </w:tcPr>
          <w:p>
            <w:r/>
            <w:r>
              <w:rPr>
                <w:b w:val="0"/>
                <w:sz w:val="13"/>
              </w:rPr>
              <w:t>8</w:t>
            </w:r>
          </w:p>
        </w:tc>
        <w:tc>
          <w:tcPr>
            <w:tcW w:type="dxa" w:w="2304"/>
            <w:vAlign w:val="top"/>
          </w:tcPr>
          <w:p>
            <w:r/>
            <w:r>
              <w:rPr>
                <w:b w:val="0"/>
                <w:sz w:val="13"/>
              </w:rPr>
              <w:t>LoadoutStationL4-REF-001..008</w:t>
            </w:r>
          </w:p>
        </w:tc>
        <w:tc>
          <w:tcPr>
            <w:tcW w:type="dxa" w:w="2160"/>
            <w:vAlign w:val="top"/>
          </w:tcPr>
          <w:p>
            <w:r/>
            <w:r>
              <w:rPr>
                <w:b w:val="0"/>
                <w:sz w:val="13"/>
              </w:rPr>
              <w:t>LoadoutStationL4-REF-003/-004</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Sample Conveyor 1</w:t>
            </w:r>
          </w:p>
        </w:tc>
        <w:tc>
          <w:tcPr>
            <w:tcW w:type="dxa" w:w="648"/>
            <w:vAlign w:val="top"/>
          </w:tcPr>
          <w:p>
            <w:r/>
            <w:r>
              <w:rPr>
                <w:b w:val="0"/>
                <w:sz w:val="13"/>
              </w:rPr>
              <w:t>11</w:t>
            </w:r>
          </w:p>
        </w:tc>
        <w:tc>
          <w:tcPr>
            <w:tcW w:type="dxa" w:w="2304"/>
            <w:vAlign w:val="top"/>
          </w:tcPr>
          <w:p>
            <w:r/>
            <w:r>
              <w:rPr>
                <w:b w:val="0"/>
                <w:sz w:val="13"/>
              </w:rPr>
              <w:t>LoadoutStationSample1-REF-001..011</w:t>
            </w:r>
          </w:p>
        </w:tc>
        <w:tc>
          <w:tcPr>
            <w:tcW w:type="dxa" w:w="2160"/>
            <w:vAlign w:val="top"/>
          </w:tcPr>
          <w:p>
            <w:r/>
            <w:r>
              <w:rPr>
                <w:b w:val="0"/>
                <w:sz w:val="13"/>
              </w:rPr>
              <w:t>LoadoutStationSample1-REF-011/-008/-005</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Sample Conveyor 2</w:t>
            </w:r>
          </w:p>
        </w:tc>
        <w:tc>
          <w:tcPr>
            <w:tcW w:type="dxa" w:w="648"/>
            <w:vAlign w:val="top"/>
          </w:tcPr>
          <w:p>
            <w:r/>
            <w:r>
              <w:rPr>
                <w:b w:val="0"/>
                <w:sz w:val="13"/>
              </w:rPr>
              <w:t>8</w:t>
            </w:r>
          </w:p>
        </w:tc>
        <w:tc>
          <w:tcPr>
            <w:tcW w:type="dxa" w:w="2304"/>
            <w:vAlign w:val="top"/>
          </w:tcPr>
          <w:p>
            <w:r/>
            <w:r>
              <w:rPr>
                <w:b w:val="0"/>
                <w:sz w:val="13"/>
              </w:rPr>
              <w:t>LoadoutStationSample2-REF-001..008</w:t>
            </w:r>
          </w:p>
        </w:tc>
        <w:tc>
          <w:tcPr>
            <w:tcW w:type="dxa" w:w="2160"/>
            <w:vAlign w:val="top"/>
          </w:tcPr>
          <w:p>
            <w:r/>
            <w:r>
              <w:rPr>
                <w:b w:val="0"/>
                <w:sz w:val="13"/>
              </w:rPr>
              <w:t>LoadoutStationSample2-REF-004/-006/-007</w:t>
            </w:r>
          </w:p>
        </w:tc>
        <w:tc>
          <w:tcPr>
            <w:tcW w:type="dxa" w:w="3168"/>
            <w:vAlign w:val="top"/>
          </w:tcPr>
          <w:p>
            <w:r/>
            <w:r>
              <w:rPr>
                <w:b w:val="0"/>
                <w:sz w:val="13"/>
              </w:rPr>
              <w:t>All retained; body selection uses smallest sufficient E/S set. See EVIDENCE_STORY_MATRIX_V0.1.csv for per-item E/S/A classification and qualification.</w:t>
            </w:r>
          </w:p>
        </w:tc>
      </w:tr>
      <w:tr>
        <w:trPr>
          <w:cantSplit/>
        </w:trPr>
        <w:tc>
          <w:tcPr>
            <w:tcW w:type="dxa" w:w="1800"/>
            <w:vAlign w:val="top"/>
          </w:tcPr>
          <w:p>
            <w:r/>
            <w:r>
              <w:rPr>
                <w:b w:val="0"/>
                <w:sz w:val="13"/>
              </w:rPr>
              <w:t>Sample Conveyor 3</w:t>
            </w:r>
          </w:p>
        </w:tc>
        <w:tc>
          <w:tcPr>
            <w:tcW w:type="dxa" w:w="648"/>
            <w:vAlign w:val="top"/>
          </w:tcPr>
          <w:p>
            <w:r/>
            <w:r>
              <w:rPr>
                <w:b w:val="0"/>
                <w:sz w:val="13"/>
              </w:rPr>
              <w:t>13</w:t>
            </w:r>
          </w:p>
        </w:tc>
        <w:tc>
          <w:tcPr>
            <w:tcW w:type="dxa" w:w="2304"/>
            <w:vAlign w:val="top"/>
          </w:tcPr>
          <w:p>
            <w:r/>
            <w:r>
              <w:rPr>
                <w:b w:val="0"/>
                <w:sz w:val="13"/>
              </w:rPr>
              <w:t>LoadoutStationSample3-REF-001..013</w:t>
            </w:r>
          </w:p>
        </w:tc>
        <w:tc>
          <w:tcPr>
            <w:tcW w:type="dxa" w:w="2160"/>
            <w:vAlign w:val="top"/>
          </w:tcPr>
          <w:p>
            <w:r/>
            <w:r>
              <w:rPr>
                <w:b w:val="0"/>
                <w:sz w:val="13"/>
              </w:rPr>
              <w:t>LoadoutStationSample3-REF-013/-005/-002/-012</w:t>
            </w:r>
          </w:p>
        </w:tc>
        <w:tc>
          <w:tcPr>
            <w:tcW w:type="dxa" w:w="3168"/>
            <w:vAlign w:val="top"/>
          </w:tcPr>
          <w:p>
            <w:r/>
            <w:r>
              <w:rPr>
                <w:b w:val="0"/>
                <w:sz w:val="13"/>
              </w:rPr>
              <w:t>All retained; body selection uses smallest sufficient E/S set. See EVIDENCE_STORY_MATRIX_V0.1.csv for per-item E/S/A classification and qualification.</w:t>
            </w:r>
          </w:p>
        </w:tc>
      </w:tr>
    </w:tbl>
    <w:p>
      <w:pPr>
        <w:pStyle w:val="Heading1"/>
        <w:keepNext/>
      </w:pPr>
      <w:r>
        <w:rPr>
          <w:rFonts w:ascii="Arial" w:hAnsi="Arial"/>
          <w:b/>
        </w:rPr>
        <w:t>Appendix C — Video Evidence Register</w:t>
      </w:r>
    </w:p>
    <w:p>
      <w:pPr>
        <w:pStyle w:val="BodyText"/>
        <w:keepLines w:val="0"/>
        <w:spacing w:after="80" w:line="252" w:lineRule="auto"/>
      </w:pPr>
      <w:r>
        <w:t>Appendix C lists the 8 controlled videos individually. Video is used where dynamic operating state materially strengthens the evidence; extracted static frames remain derivatives of the original video and retain the original canonical evidence ID.</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rPr>
        <w:tc>
          <w:tcPr>
            <w:tcW w:type="dxa" w:w="1080"/>
            <w:vAlign w:val="center"/>
          </w:tcPr>
          <w:p>
            <w:r/>
            <w:r>
              <w:rPr>
                <w:b/>
                <w:sz w:val="14"/>
              </w:rPr>
              <w:t>Asset</w:t>
            </w:r>
          </w:p>
        </w:tc>
        <w:tc>
          <w:tcPr>
            <w:tcW w:type="dxa" w:w="1728"/>
            <w:vAlign w:val="center"/>
          </w:tcPr>
          <w:p>
            <w:r/>
            <w:r>
              <w:rPr>
                <w:b/>
                <w:sz w:val="14"/>
              </w:rPr>
              <w:t>Canonical ID</w:t>
            </w:r>
          </w:p>
        </w:tc>
        <w:tc>
          <w:tcPr>
            <w:tcW w:type="dxa" w:w="2304"/>
            <w:vAlign w:val="center"/>
          </w:tcPr>
          <w:p>
            <w:r/>
            <w:r>
              <w:rPr>
                <w:b/>
                <w:sz w:val="14"/>
              </w:rPr>
              <w:t>Repository filename</w:t>
            </w:r>
          </w:p>
        </w:tc>
        <w:tc>
          <w:tcPr>
            <w:tcW w:type="dxa" w:w="3024"/>
            <w:vAlign w:val="center"/>
          </w:tcPr>
          <w:p>
            <w:r/>
            <w:r>
              <w:rPr>
                <w:b/>
                <w:sz w:val="14"/>
              </w:rPr>
              <w:t>Evidence role</w:t>
            </w:r>
          </w:p>
        </w:tc>
        <w:tc>
          <w:tcPr>
            <w:tcW w:type="dxa" w:w="2880"/>
            <w:vAlign w:val="center"/>
          </w:tcPr>
          <w:p>
            <w:r/>
            <w:r>
              <w:rPr>
                <w:b/>
                <w:sz w:val="14"/>
              </w:rPr>
              <w:t>Qualification</w:t>
            </w:r>
          </w:p>
        </w:tc>
      </w:tr>
      <w:tr>
        <w:trPr>
          <w:cantSplit/>
        </w:trPr>
        <w:tc>
          <w:tcPr>
            <w:tcW w:type="dxa" w:w="1080"/>
            <w:vAlign w:val="top"/>
          </w:tcPr>
          <w:p>
            <w:r/>
            <w:r>
              <w:rPr>
                <w:b w:val="0"/>
                <w:sz w:val="14"/>
              </w:rPr>
              <w:t>CV09</w:t>
            </w:r>
          </w:p>
        </w:tc>
        <w:tc>
          <w:tcPr>
            <w:tcW w:type="dxa" w:w="1728"/>
            <w:vAlign w:val="top"/>
          </w:tcPr>
          <w:p>
            <w:r/>
            <w:r>
              <w:rPr>
                <w:b w:val="0"/>
                <w:sz w:val="14"/>
              </w:rPr>
              <w:t>CV09-REF-006</w:t>
            </w:r>
          </w:p>
        </w:tc>
        <w:tc>
          <w:tcPr>
            <w:tcW w:type="dxa" w:w="2304"/>
            <w:vAlign w:val="top"/>
          </w:tcPr>
          <w:p>
            <w:r/>
            <w:r>
              <w:rPr>
                <w:b w:val="0"/>
                <w:sz w:val="14"/>
              </w:rPr>
              <w:t>Cv09-Ref-006.mp4</w:t>
            </w:r>
          </w:p>
        </w:tc>
        <w:tc>
          <w:tcPr>
            <w:tcW w:type="dxa" w:w="3024"/>
            <w:vAlign w:val="top"/>
          </w:tcPr>
          <w:p>
            <w:r/>
            <w:r>
              <w:rPr>
                <w:b w:val="0"/>
                <w:sz w:val="14"/>
              </w:rPr>
              <w:t>Active wet-material fallout during operation; principal dynamic proof.</w:t>
            </w:r>
          </w:p>
        </w:tc>
        <w:tc>
          <w:tcPr>
            <w:tcW w:type="dxa" w:w="2880"/>
            <w:vAlign w:val="top"/>
          </w:tcPr>
          <w:p>
            <w:r/>
            <w:r>
              <w:rPr>
                <w:b w:val="0"/>
                <w:sz w:val="14"/>
              </w:rPr>
              <w:t>Does not define final cleaner/chute geometry.</w:t>
            </w:r>
          </w:p>
        </w:tc>
      </w:tr>
      <w:tr>
        <w:trPr>
          <w:cantSplit/>
        </w:trPr>
        <w:tc>
          <w:tcPr>
            <w:tcW w:type="dxa" w:w="1080"/>
            <w:vAlign w:val="top"/>
          </w:tcPr>
          <w:p>
            <w:r/>
            <w:r>
              <w:rPr>
                <w:b w:val="0"/>
                <w:sz w:val="14"/>
              </w:rPr>
              <w:t>CV09</w:t>
            </w:r>
          </w:p>
        </w:tc>
        <w:tc>
          <w:tcPr>
            <w:tcW w:type="dxa" w:w="1728"/>
            <w:vAlign w:val="top"/>
          </w:tcPr>
          <w:p>
            <w:r/>
            <w:r>
              <w:rPr>
                <w:b w:val="0"/>
                <w:sz w:val="14"/>
              </w:rPr>
              <w:t>CV09-REF-007</w:t>
            </w:r>
          </w:p>
        </w:tc>
        <w:tc>
          <w:tcPr>
            <w:tcW w:type="dxa" w:w="2304"/>
            <w:vAlign w:val="top"/>
          </w:tcPr>
          <w:p>
            <w:r/>
            <w:r>
              <w:rPr>
                <w:b w:val="0"/>
                <w:sz w:val="14"/>
              </w:rPr>
              <w:t>Cv09-Ref-007.mp4</w:t>
            </w:r>
          </w:p>
        </w:tc>
        <w:tc>
          <w:tcPr>
            <w:tcW w:type="dxa" w:w="3024"/>
            <w:vAlign w:val="top"/>
          </w:tcPr>
          <w:p>
            <w:r/>
            <w:r>
              <w:rPr>
                <w:b w:val="0"/>
                <w:sz w:val="14"/>
              </w:rPr>
              <w:t>Supplementary operating context for wet-fines / cleaner region.</w:t>
            </w:r>
          </w:p>
        </w:tc>
        <w:tc>
          <w:tcPr>
            <w:tcW w:type="dxa" w:w="2880"/>
            <w:vAlign w:val="top"/>
          </w:tcPr>
          <w:p>
            <w:r/>
            <w:r>
              <w:rPr>
                <w:b w:val="0"/>
                <w:sz w:val="14"/>
              </w:rPr>
              <w:t>Supporting dynamic evidence; use only where it adds unique context.</w:t>
            </w:r>
          </w:p>
        </w:tc>
      </w:tr>
      <w:tr>
        <w:trPr>
          <w:cantSplit/>
        </w:trPr>
        <w:tc>
          <w:tcPr>
            <w:tcW w:type="dxa" w:w="1080"/>
            <w:vAlign w:val="top"/>
          </w:tcPr>
          <w:p>
            <w:r/>
            <w:r>
              <w:rPr>
                <w:b w:val="0"/>
                <w:sz w:val="14"/>
              </w:rPr>
              <w:t>CV09</w:t>
            </w:r>
          </w:p>
        </w:tc>
        <w:tc>
          <w:tcPr>
            <w:tcW w:type="dxa" w:w="1728"/>
            <w:vAlign w:val="top"/>
          </w:tcPr>
          <w:p>
            <w:r/>
            <w:r>
              <w:rPr>
                <w:b w:val="0"/>
                <w:sz w:val="14"/>
              </w:rPr>
              <w:t>CV09-REF-008</w:t>
            </w:r>
          </w:p>
        </w:tc>
        <w:tc>
          <w:tcPr>
            <w:tcW w:type="dxa" w:w="2304"/>
            <w:vAlign w:val="top"/>
          </w:tcPr>
          <w:p>
            <w:r/>
            <w:r>
              <w:rPr>
                <w:b w:val="0"/>
                <w:sz w:val="14"/>
              </w:rPr>
              <w:t>Cv09-Ref-008.mp4</w:t>
            </w:r>
          </w:p>
        </w:tc>
        <w:tc>
          <w:tcPr>
            <w:tcW w:type="dxa" w:w="3024"/>
            <w:vAlign w:val="top"/>
          </w:tcPr>
          <w:p>
            <w:r/>
            <w:r>
              <w:rPr>
                <w:b w:val="0"/>
                <w:sz w:val="14"/>
              </w:rPr>
              <w:t>Dynamic cleaner/chute contamination and containment-boundary context.</w:t>
            </w:r>
          </w:p>
        </w:tc>
        <w:tc>
          <w:tcPr>
            <w:tcW w:type="dxa" w:w="2880"/>
            <w:vAlign w:val="top"/>
          </w:tcPr>
          <w:p>
            <w:r/>
            <w:r>
              <w:rPr>
                <w:b w:val="0"/>
                <w:sz w:val="14"/>
              </w:rPr>
              <w:t>Supports pilot context; not final design geometry.</w:t>
            </w:r>
          </w:p>
        </w:tc>
      </w:tr>
      <w:tr>
        <w:trPr>
          <w:cantSplit/>
        </w:trPr>
        <w:tc>
          <w:tcPr>
            <w:tcW w:type="dxa" w:w="1080"/>
            <w:vAlign w:val="top"/>
          </w:tcPr>
          <w:p>
            <w:r/>
            <w:r>
              <w:rPr>
                <w:b w:val="0"/>
                <w:sz w:val="14"/>
              </w:rPr>
              <w:t>Screens</w:t>
            </w:r>
          </w:p>
        </w:tc>
        <w:tc>
          <w:tcPr>
            <w:tcW w:type="dxa" w:w="1728"/>
            <w:vAlign w:val="top"/>
          </w:tcPr>
          <w:p>
            <w:r/>
            <w:r>
              <w:rPr>
                <w:b w:val="0"/>
                <w:sz w:val="14"/>
              </w:rPr>
              <w:t>Screen-REF-015</w:t>
            </w:r>
          </w:p>
        </w:tc>
        <w:tc>
          <w:tcPr>
            <w:tcW w:type="dxa" w:w="2304"/>
            <w:vAlign w:val="top"/>
          </w:tcPr>
          <w:p>
            <w:r/>
            <w:r>
              <w:rPr>
                <w:b w:val="0"/>
                <w:sz w:val="14"/>
              </w:rPr>
              <w:t>Screen-REF-015.mp4</w:t>
            </w:r>
          </w:p>
        </w:tc>
        <w:tc>
          <w:tcPr>
            <w:tcW w:type="dxa" w:w="3024"/>
            <w:vAlign w:val="top"/>
          </w:tcPr>
          <w:p>
            <w:r/>
            <w:r>
              <w:rPr>
                <w:b w:val="0"/>
                <w:sz w:val="14"/>
              </w:rPr>
              <w:t>Supplementary screen operating / water context.</w:t>
            </w:r>
          </w:p>
        </w:tc>
        <w:tc>
          <w:tcPr>
            <w:tcW w:type="dxa" w:w="2880"/>
            <w:vAlign w:val="top"/>
          </w:tcPr>
          <w:p>
            <w:r/>
            <w:r>
              <w:rPr>
                <w:b w:val="0"/>
                <w:sz w:val="14"/>
              </w:rPr>
              <w:t>Supporting only unless unique mechanism detail is required.</w:t>
            </w:r>
          </w:p>
        </w:tc>
      </w:tr>
      <w:tr>
        <w:trPr>
          <w:cantSplit/>
        </w:trPr>
        <w:tc>
          <w:tcPr>
            <w:tcW w:type="dxa" w:w="1080"/>
            <w:vAlign w:val="top"/>
          </w:tcPr>
          <w:p>
            <w:r/>
            <w:r>
              <w:rPr>
                <w:b w:val="0"/>
                <w:sz w:val="14"/>
              </w:rPr>
              <w:t>Screens</w:t>
            </w:r>
          </w:p>
        </w:tc>
        <w:tc>
          <w:tcPr>
            <w:tcW w:type="dxa" w:w="1728"/>
            <w:vAlign w:val="top"/>
          </w:tcPr>
          <w:p>
            <w:r/>
            <w:r>
              <w:rPr>
                <w:b w:val="0"/>
                <w:sz w:val="14"/>
              </w:rPr>
              <w:t>Screen-REF-016</w:t>
            </w:r>
          </w:p>
        </w:tc>
        <w:tc>
          <w:tcPr>
            <w:tcW w:type="dxa" w:w="2304"/>
            <w:vAlign w:val="top"/>
          </w:tcPr>
          <w:p>
            <w:r/>
            <w:r>
              <w:rPr>
                <w:b w:val="0"/>
                <w:sz w:val="14"/>
              </w:rPr>
              <w:t>Screen-REF-016.mp4</w:t>
            </w:r>
          </w:p>
        </w:tc>
        <w:tc>
          <w:tcPr>
            <w:tcW w:type="dxa" w:w="3024"/>
            <w:vAlign w:val="top"/>
          </w:tcPr>
          <w:p>
            <w:r/>
            <w:r>
              <w:rPr>
                <w:b w:val="0"/>
                <w:sz w:val="14"/>
              </w:rPr>
              <w:t>Direct active process-water escape / spray.</w:t>
            </w:r>
          </w:p>
        </w:tc>
        <w:tc>
          <w:tcPr>
            <w:tcW w:type="dxa" w:w="2880"/>
            <w:vAlign w:val="top"/>
          </w:tcPr>
          <w:p>
            <w:r/>
            <w:r>
              <w:rPr>
                <w:b w:val="0"/>
                <w:sz w:val="14"/>
              </w:rPr>
              <w:t>Proves active escape, not exact equipment-level cause.</w:t>
            </w:r>
          </w:p>
        </w:tc>
      </w:tr>
      <w:tr>
        <w:trPr>
          <w:cantSplit/>
        </w:trPr>
        <w:tc>
          <w:tcPr>
            <w:tcW w:type="dxa" w:w="1080"/>
            <w:vAlign w:val="top"/>
          </w:tcPr>
          <w:p>
            <w:r/>
            <w:r>
              <w:rPr>
                <w:b w:val="0"/>
                <w:sz w:val="14"/>
              </w:rPr>
              <w:t>Screens</w:t>
            </w:r>
          </w:p>
        </w:tc>
        <w:tc>
          <w:tcPr>
            <w:tcW w:type="dxa" w:w="1728"/>
            <w:vAlign w:val="top"/>
          </w:tcPr>
          <w:p>
            <w:r/>
            <w:r>
              <w:rPr>
                <w:b w:val="0"/>
                <w:sz w:val="14"/>
              </w:rPr>
              <w:t>Screen-REF-017</w:t>
            </w:r>
          </w:p>
        </w:tc>
        <w:tc>
          <w:tcPr>
            <w:tcW w:type="dxa" w:w="2304"/>
            <w:vAlign w:val="top"/>
          </w:tcPr>
          <w:p>
            <w:r/>
            <w:r>
              <w:rPr>
                <w:b w:val="0"/>
                <w:sz w:val="14"/>
              </w:rPr>
              <w:t>Screen-REF-017.mp4</w:t>
            </w:r>
          </w:p>
        </w:tc>
        <w:tc>
          <w:tcPr>
            <w:tcW w:type="dxa" w:w="3024"/>
            <w:vAlign w:val="top"/>
          </w:tcPr>
          <w:p>
            <w:r/>
            <w:r>
              <w:rPr>
                <w:b w:val="0"/>
                <w:sz w:val="14"/>
              </w:rPr>
              <w:t>Wider substantial water spray/runoff / repeated wetting.</w:t>
            </w:r>
          </w:p>
        </w:tc>
        <w:tc>
          <w:tcPr>
            <w:tcW w:type="dxa" w:w="2880"/>
            <w:vAlign w:val="top"/>
          </w:tcPr>
          <w:p>
            <w:r/>
            <w:r>
              <w:rPr>
                <w:b w:val="0"/>
                <w:sz w:val="14"/>
              </w:rPr>
              <w:t>Proves active escape/extent, not structural causation.</w:t>
            </w:r>
          </w:p>
        </w:tc>
      </w:tr>
      <w:tr>
        <w:trPr>
          <w:cantSplit/>
        </w:trPr>
        <w:tc>
          <w:tcPr>
            <w:tcW w:type="dxa" w:w="1080"/>
            <w:vAlign w:val="top"/>
          </w:tcPr>
          <w:p>
            <w:r/>
            <w:r>
              <w:rPr>
                <w:b w:val="0"/>
                <w:sz w:val="14"/>
              </w:rPr>
              <w:t>L2</w:t>
            </w:r>
          </w:p>
        </w:tc>
        <w:tc>
          <w:tcPr>
            <w:tcW w:type="dxa" w:w="1728"/>
            <w:vAlign w:val="top"/>
          </w:tcPr>
          <w:p>
            <w:r/>
            <w:r>
              <w:rPr>
                <w:b w:val="0"/>
                <w:sz w:val="14"/>
              </w:rPr>
              <w:t>LoadoutStationL2-REF-005 (video)</w:t>
            </w:r>
          </w:p>
        </w:tc>
        <w:tc>
          <w:tcPr>
            <w:tcW w:type="dxa" w:w="2304"/>
            <w:vAlign w:val="top"/>
          </w:tcPr>
          <w:p>
            <w:r/>
            <w:r>
              <w:rPr>
                <w:b w:val="0"/>
                <w:sz w:val="14"/>
              </w:rPr>
              <w:t>LoadoutStationL2-REF-005.mp4</w:t>
            </w:r>
          </w:p>
        </w:tc>
        <w:tc>
          <w:tcPr>
            <w:tcW w:type="dxa" w:w="3024"/>
            <w:vAlign w:val="top"/>
          </w:tcPr>
          <w:p>
            <w:r/>
            <w:r>
              <w:rPr>
                <w:b w:val="0"/>
                <w:sz w:val="14"/>
              </w:rPr>
              <w:t>Dynamic clean-condition / no-significant-spillage comparator for inspected state.</w:t>
            </w:r>
          </w:p>
        </w:tc>
        <w:tc>
          <w:tcPr>
            <w:tcW w:type="dxa" w:w="2880"/>
            <w:vAlign w:val="top"/>
          </w:tcPr>
          <w:p>
            <w:r/>
            <w:r>
              <w:rPr>
                <w:b w:val="0"/>
                <w:sz w:val="14"/>
              </w:rPr>
              <w:t>Duplicate numeric ID exists as JPG; always state media type/exact filename.</w:t>
            </w:r>
          </w:p>
        </w:tc>
      </w:tr>
      <w:tr>
        <w:trPr>
          <w:cantSplit/>
        </w:trPr>
        <w:tc>
          <w:tcPr>
            <w:tcW w:type="dxa" w:w="1080"/>
            <w:vAlign w:val="top"/>
          </w:tcPr>
          <w:p>
            <w:r/>
            <w:r>
              <w:rPr>
                <w:b w:val="0"/>
                <w:sz w:val="14"/>
              </w:rPr>
              <w:t>U4</w:t>
            </w:r>
          </w:p>
        </w:tc>
        <w:tc>
          <w:tcPr>
            <w:tcW w:type="dxa" w:w="1728"/>
            <w:vAlign w:val="top"/>
          </w:tcPr>
          <w:p>
            <w:r/>
            <w:r>
              <w:rPr>
                <w:b w:val="0"/>
                <w:sz w:val="14"/>
              </w:rPr>
              <w:t>UGU4-REF-010</w:t>
            </w:r>
          </w:p>
        </w:tc>
        <w:tc>
          <w:tcPr>
            <w:tcW w:type="dxa" w:w="2304"/>
            <w:vAlign w:val="top"/>
          </w:tcPr>
          <w:p>
            <w:r/>
            <w:r>
              <w:rPr>
                <w:b w:val="0"/>
                <w:sz w:val="14"/>
              </w:rPr>
              <w:t>UGU4-REF-010.MP4</w:t>
            </w:r>
          </w:p>
        </w:tc>
        <w:tc>
          <w:tcPr>
            <w:tcW w:type="dxa" w:w="3024"/>
            <w:vAlign w:val="top"/>
          </w:tcPr>
          <w:p>
            <w:r/>
            <w:r>
              <w:rPr>
                <w:b w:val="0"/>
                <w:sz w:val="14"/>
              </w:rPr>
              <w:t>Dynamic tail-pulley/belt alignment/tracking context.</w:t>
            </w:r>
          </w:p>
        </w:tc>
        <w:tc>
          <w:tcPr>
            <w:tcW w:type="dxa" w:w="2880"/>
            <w:vAlign w:val="top"/>
          </w:tcPr>
          <w:p>
            <w:r/>
            <w:r>
              <w:rPr>
                <w:b w:val="0"/>
                <w:sz w:val="14"/>
              </w:rPr>
              <w:t>Supports inspector-recorded concern; not quantitative geometry.</w:t>
            </w:r>
          </w:p>
        </w:tc>
      </w:tr>
    </w:tbl>
    <w:p>
      <w:pPr>
        <w:pStyle w:val="Heading1"/>
        <w:keepNext/>
      </w:pPr>
      <w:r>
        <w:rPr>
          <w:rFonts w:ascii="Arial" w:hAnsi="Arial"/>
          <w:b/>
        </w:rPr>
        <w:t>Appendix D — Measurements / Verification Required</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rPr>
        <w:tc>
          <w:tcPr>
            <w:tcW w:type="dxa" w:w="864"/>
            <w:vAlign w:val="center"/>
          </w:tcPr>
          <w:p>
            <w:r/>
            <w:r>
              <w:rPr>
                <w:b/>
                <w:sz w:val="13"/>
              </w:rPr>
              <w:t>ID</w:t>
            </w:r>
          </w:p>
        </w:tc>
        <w:tc>
          <w:tcPr>
            <w:tcW w:type="dxa" w:w="2088"/>
            <w:vAlign w:val="center"/>
          </w:tcPr>
          <w:p>
            <w:r/>
            <w:r>
              <w:rPr>
                <w:b/>
                <w:sz w:val="13"/>
              </w:rPr>
              <w:t>Case / verification</w:t>
            </w:r>
          </w:p>
        </w:tc>
        <w:tc>
          <w:tcPr>
            <w:tcW w:type="dxa" w:w="792"/>
            <w:vAlign w:val="center"/>
          </w:tcPr>
          <w:p>
            <w:r/>
            <w:r>
              <w:rPr>
                <w:b/>
                <w:sz w:val="13"/>
              </w:rPr>
              <w:t>Class</w:t>
            </w:r>
          </w:p>
        </w:tc>
        <w:tc>
          <w:tcPr>
            <w:tcW w:type="dxa" w:w="936"/>
            <w:vAlign w:val="center"/>
          </w:tcPr>
          <w:p>
            <w:r/>
            <w:r>
              <w:rPr>
                <w:b/>
                <w:sz w:val="13"/>
              </w:rPr>
              <w:t>Gate</w:t>
            </w:r>
          </w:p>
        </w:tc>
        <w:tc>
          <w:tcPr>
            <w:tcW w:type="dxa" w:w="3528"/>
            <w:vAlign w:val="center"/>
          </w:tcPr>
          <w:p>
            <w:r/>
            <w:r>
              <w:rPr>
                <w:b/>
                <w:sz w:val="13"/>
              </w:rPr>
              <w:t>Required evidence</w:t>
            </w:r>
          </w:p>
        </w:tc>
        <w:tc>
          <w:tcPr>
            <w:tcW w:type="dxa" w:w="2448"/>
            <w:vAlign w:val="center"/>
          </w:tcPr>
          <w:p>
            <w:r/>
            <w:r>
              <w:rPr>
                <w:b/>
                <w:sz w:val="13"/>
              </w:rPr>
              <w:t>Decision / close-out dependency</w:t>
            </w:r>
          </w:p>
        </w:tc>
      </w:tr>
      <w:tr>
        <w:trPr>
          <w:cantSplit/>
        </w:trPr>
        <w:tc>
          <w:tcPr>
            <w:tcW w:type="dxa" w:w="864"/>
            <w:vAlign w:val="top"/>
          </w:tcPr>
          <w:p>
            <w:r/>
            <w:r>
              <w:rPr>
                <w:b w:val="0"/>
                <w:sz w:val="13"/>
              </w:rPr>
              <w:t>VER-001</w:t>
            </w:r>
          </w:p>
        </w:tc>
        <w:tc>
          <w:tcPr>
            <w:tcW w:type="dxa" w:w="2088"/>
            <w:vAlign w:val="top"/>
          </w:tcPr>
          <w:p>
            <w:r/>
            <w:r>
              <w:rPr>
                <w:b w:val="0"/>
                <w:sz w:val="13"/>
              </w:rPr>
              <w:t>CV09 as-found geometry / pilot design inputs</w:t>
            </w:r>
          </w:p>
        </w:tc>
        <w:tc>
          <w:tcPr>
            <w:tcW w:type="dxa" w:w="792"/>
            <w:vAlign w:val="top"/>
          </w:tcPr>
          <w:p>
            <w:r/>
            <w:r>
              <w:rPr>
                <w:b w:val="0"/>
                <w:sz w:val="13"/>
              </w:rPr>
              <w:t>M/D/O</w:t>
            </w:r>
          </w:p>
        </w:tc>
        <w:tc>
          <w:tcPr>
            <w:tcW w:type="dxa" w:w="936"/>
            <w:vAlign w:val="top"/>
          </w:tcPr>
          <w:p>
            <w:r/>
            <w:r>
              <w:rPr>
                <w:b w:val="0"/>
                <w:sz w:val="13"/>
              </w:rPr>
              <w:t>G1</w:t>
            </w:r>
          </w:p>
        </w:tc>
        <w:tc>
          <w:tcPr>
            <w:tcW w:type="dxa" w:w="3528"/>
            <w:vAlign w:val="top"/>
          </w:tcPr>
          <w:p>
            <w:r/>
            <w:r>
              <w:rPr>
                <w:b w:val="0"/>
                <w:sz w:val="13"/>
              </w:rPr>
              <w:t>Survey cleaner/chute/envelope/access/fines route + pre-trial baseline</w:t>
            </w:r>
          </w:p>
        </w:tc>
        <w:tc>
          <w:tcPr>
            <w:tcW w:type="dxa" w:w="2448"/>
            <w:vAlign w:val="top"/>
          </w:tcPr>
          <w:p>
            <w:r/>
            <w:r>
              <w:rPr>
                <w:b w:val="0"/>
                <w:sz w:val="13"/>
              </w:rPr>
              <w:t>Before final cleaner/chute design</w:t>
            </w:r>
          </w:p>
        </w:tc>
      </w:tr>
      <w:tr>
        <w:trPr>
          <w:cantSplit/>
        </w:trPr>
        <w:tc>
          <w:tcPr>
            <w:tcW w:type="dxa" w:w="864"/>
            <w:vAlign w:val="top"/>
          </w:tcPr>
          <w:p>
            <w:r/>
            <w:r>
              <w:rPr>
                <w:b w:val="0"/>
                <w:sz w:val="13"/>
              </w:rPr>
              <w:t>VER-002</w:t>
            </w:r>
          </w:p>
        </w:tc>
        <w:tc>
          <w:tcPr>
            <w:tcW w:type="dxa" w:w="2088"/>
            <w:vAlign w:val="top"/>
          </w:tcPr>
          <w:p>
            <w:r/>
            <w:r>
              <w:rPr>
                <w:b w:val="0"/>
                <w:sz w:val="13"/>
              </w:rPr>
              <w:t>CV09 pilot functional performance</w:t>
            </w:r>
          </w:p>
        </w:tc>
        <w:tc>
          <w:tcPr>
            <w:tcW w:type="dxa" w:w="792"/>
            <w:vAlign w:val="top"/>
          </w:tcPr>
          <w:p>
            <w:r/>
            <w:r>
              <w:rPr>
                <w:b w:val="0"/>
                <w:sz w:val="13"/>
              </w:rPr>
              <w:t>O/P</w:t>
            </w:r>
          </w:p>
        </w:tc>
        <w:tc>
          <w:tcPr>
            <w:tcW w:type="dxa" w:w="936"/>
            <w:vAlign w:val="top"/>
          </w:tcPr>
          <w:p>
            <w:r/>
            <w:r>
              <w:rPr>
                <w:b w:val="0"/>
                <w:sz w:val="13"/>
              </w:rPr>
              <w:t>G3/G4</w:t>
            </w:r>
          </w:p>
        </w:tc>
        <w:tc>
          <w:tcPr>
            <w:tcW w:type="dxa" w:w="3528"/>
            <w:vAlign w:val="top"/>
          </w:tcPr>
          <w:p>
            <w:r/>
            <w:r>
              <w:rPr>
                <w:b w:val="0"/>
                <w:sz w:val="13"/>
              </w:rPr>
              <w:t>Representative monitoring + before/after evidence + maintenance record</w:t>
            </w:r>
          </w:p>
        </w:tc>
        <w:tc>
          <w:tcPr>
            <w:tcW w:type="dxa" w:w="2448"/>
            <w:vAlign w:val="top"/>
          </w:tcPr>
          <w:p>
            <w:r/>
            <w:r>
              <w:rPr>
                <w:b w:val="0"/>
                <w:sz w:val="13"/>
              </w:rPr>
              <w:t>Before wider rollout</w:t>
            </w:r>
          </w:p>
        </w:tc>
      </w:tr>
      <w:tr>
        <w:trPr>
          <w:cantSplit/>
        </w:trPr>
        <w:tc>
          <w:tcPr>
            <w:tcW w:type="dxa" w:w="864"/>
            <w:vAlign w:val="top"/>
          </w:tcPr>
          <w:p>
            <w:r/>
            <w:r>
              <w:rPr>
                <w:b w:val="0"/>
                <w:sz w:val="13"/>
              </w:rPr>
              <w:t>VER-003</w:t>
            </w:r>
          </w:p>
        </w:tc>
        <w:tc>
          <w:tcPr>
            <w:tcW w:type="dxa" w:w="2088"/>
            <w:vAlign w:val="top"/>
          </w:tcPr>
          <w:p>
            <w:r/>
            <w:r>
              <w:rPr>
                <w:b w:val="0"/>
                <w:sz w:val="13"/>
              </w:rPr>
              <w:t>CV06 cleaner restoration</w:t>
            </w:r>
          </w:p>
        </w:tc>
        <w:tc>
          <w:tcPr>
            <w:tcW w:type="dxa" w:w="792"/>
            <w:vAlign w:val="top"/>
          </w:tcPr>
          <w:p>
            <w:r/>
            <w:r>
              <w:rPr>
                <w:b w:val="0"/>
                <w:sz w:val="13"/>
              </w:rPr>
              <w:t>M/O</w:t>
            </w:r>
          </w:p>
        </w:tc>
        <w:tc>
          <w:tcPr>
            <w:tcW w:type="dxa" w:w="936"/>
            <w:vAlign w:val="top"/>
          </w:tcPr>
          <w:p>
            <w:r/>
            <w:r>
              <w:rPr>
                <w:b w:val="0"/>
                <w:sz w:val="13"/>
              </w:rPr>
              <w:t>G2/G3</w:t>
            </w:r>
          </w:p>
        </w:tc>
        <w:tc>
          <w:tcPr>
            <w:tcW w:type="dxa" w:w="3528"/>
            <w:vAlign w:val="top"/>
          </w:tcPr>
          <w:p>
            <w:r/>
            <w:r>
              <w:rPr>
                <w:b w:val="0"/>
                <w:sz w:val="13"/>
              </w:rPr>
              <w:t>Maintenance repair record + post-repair configuration + operating proof</w:t>
            </w:r>
          </w:p>
        </w:tc>
        <w:tc>
          <w:tcPr>
            <w:tcW w:type="dxa" w:w="2448"/>
            <w:vAlign w:val="top"/>
          </w:tcPr>
          <w:p>
            <w:r/>
            <w:r>
              <w:rPr>
                <w:b w:val="0"/>
                <w:sz w:val="13"/>
              </w:rPr>
              <w:t>Before cleaner close-out</w:t>
            </w:r>
          </w:p>
        </w:tc>
      </w:tr>
      <w:tr>
        <w:trPr>
          <w:cantSplit/>
        </w:trPr>
        <w:tc>
          <w:tcPr>
            <w:tcW w:type="dxa" w:w="864"/>
            <w:vAlign w:val="top"/>
          </w:tcPr>
          <w:p>
            <w:r/>
            <w:r>
              <w:rPr>
                <w:b w:val="0"/>
                <w:sz w:val="13"/>
              </w:rPr>
              <w:t>VER-004</w:t>
            </w:r>
          </w:p>
        </w:tc>
        <w:tc>
          <w:tcPr>
            <w:tcW w:type="dxa" w:w="2088"/>
            <w:vAlign w:val="top"/>
          </w:tcPr>
          <w:p>
            <w:r/>
            <w:r>
              <w:rPr>
                <w:b w:val="0"/>
                <w:sz w:val="13"/>
              </w:rPr>
              <w:t>U4 alignment/tracking/full travel</w:t>
            </w:r>
          </w:p>
        </w:tc>
        <w:tc>
          <w:tcPr>
            <w:tcW w:type="dxa" w:w="792"/>
            <w:vAlign w:val="top"/>
          </w:tcPr>
          <w:p>
            <w:r/>
            <w:r>
              <w:rPr>
                <w:b w:val="0"/>
                <w:sz w:val="13"/>
              </w:rPr>
              <w:t>M/O</w:t>
            </w:r>
          </w:p>
        </w:tc>
        <w:tc>
          <w:tcPr>
            <w:tcW w:type="dxa" w:w="936"/>
            <w:vAlign w:val="top"/>
          </w:tcPr>
          <w:p>
            <w:r/>
            <w:r>
              <w:rPr>
                <w:b w:val="0"/>
                <w:sz w:val="13"/>
              </w:rPr>
              <w:t>G1/G2/G3</w:t>
            </w:r>
          </w:p>
        </w:tc>
        <w:tc>
          <w:tcPr>
            <w:tcW w:type="dxa" w:w="3528"/>
            <w:vAlign w:val="top"/>
          </w:tcPr>
          <w:p>
            <w:r/>
            <w:r>
              <w:rPr>
                <w:b w:val="0"/>
                <w:sz w:val="13"/>
              </w:rPr>
              <w:t>As-found/as-left survey + full-travel operating record + loss comparison</w:t>
            </w:r>
          </w:p>
        </w:tc>
        <w:tc>
          <w:tcPr>
            <w:tcW w:type="dxa" w:w="2448"/>
            <w:vAlign w:val="top"/>
          </w:tcPr>
          <w:p>
            <w:r/>
            <w:r>
              <w:rPr>
                <w:b w:val="0"/>
                <w:sz w:val="13"/>
              </w:rPr>
              <w:t>Before final tracking close-out</w:t>
            </w:r>
          </w:p>
        </w:tc>
      </w:tr>
      <w:tr>
        <w:trPr>
          <w:cantSplit/>
        </w:trPr>
        <w:tc>
          <w:tcPr>
            <w:tcW w:type="dxa" w:w="864"/>
            <w:vAlign w:val="top"/>
          </w:tcPr>
          <w:p>
            <w:r/>
            <w:r>
              <w:rPr>
                <w:b w:val="0"/>
                <w:sz w:val="13"/>
              </w:rPr>
              <w:t>VER-005</w:t>
            </w:r>
          </w:p>
        </w:tc>
        <w:tc>
          <w:tcPr>
            <w:tcW w:type="dxa" w:w="2088"/>
            <w:vAlign w:val="top"/>
          </w:tcPr>
          <w:p>
            <w:r/>
            <w:r>
              <w:rPr>
                <w:b w:val="0"/>
                <w:sz w:val="13"/>
              </w:rPr>
              <w:t>Sample 3 feed/width/tracking</w:t>
            </w:r>
          </w:p>
        </w:tc>
        <w:tc>
          <w:tcPr>
            <w:tcW w:type="dxa" w:w="792"/>
            <w:vAlign w:val="top"/>
          </w:tcPr>
          <w:p>
            <w:r/>
            <w:r>
              <w:rPr>
                <w:b w:val="0"/>
                <w:sz w:val="13"/>
              </w:rPr>
              <w:t>M/O/D</w:t>
            </w:r>
          </w:p>
        </w:tc>
        <w:tc>
          <w:tcPr>
            <w:tcW w:type="dxa" w:w="936"/>
            <w:vAlign w:val="top"/>
          </w:tcPr>
          <w:p>
            <w:r/>
            <w:r>
              <w:rPr>
                <w:b w:val="0"/>
                <w:sz w:val="13"/>
              </w:rPr>
              <w:t>G1/G2/G3</w:t>
            </w:r>
          </w:p>
        </w:tc>
        <w:tc>
          <w:tcPr>
            <w:tcW w:type="dxa" w:w="3528"/>
            <w:vAlign w:val="top"/>
          </w:tcPr>
          <w:p>
            <w:r/>
            <w:r>
              <w:rPr>
                <w:b w:val="0"/>
                <w:sz w:val="13"/>
              </w:rPr>
              <w:t>Width/feed/trajectory + offset/alignment + post-correction proof</w:t>
            </w:r>
          </w:p>
        </w:tc>
        <w:tc>
          <w:tcPr>
            <w:tcW w:type="dxa" w:w="2448"/>
            <w:vAlign w:val="top"/>
          </w:tcPr>
          <w:p>
            <w:r/>
            <w:r>
              <w:rPr>
                <w:b w:val="0"/>
                <w:sz w:val="13"/>
              </w:rPr>
              <w:t>Before final side containment</w:t>
            </w:r>
          </w:p>
        </w:tc>
      </w:tr>
      <w:tr>
        <w:trPr>
          <w:cantSplit/>
        </w:trPr>
        <w:tc>
          <w:tcPr>
            <w:tcW w:type="dxa" w:w="864"/>
            <w:vAlign w:val="top"/>
          </w:tcPr>
          <w:p>
            <w:r/>
            <w:r>
              <w:rPr>
                <w:b w:val="0"/>
                <w:sz w:val="13"/>
              </w:rPr>
              <w:t>VER-006</w:t>
            </w:r>
          </w:p>
        </w:tc>
        <w:tc>
          <w:tcPr>
            <w:tcW w:type="dxa" w:w="2088"/>
            <w:vAlign w:val="top"/>
          </w:tcPr>
          <w:p>
            <w:r/>
            <w:r>
              <w:rPr>
                <w:b w:val="0"/>
                <w:sz w:val="13"/>
              </w:rPr>
              <w:t>Sample 2 feed/loading verification</w:t>
            </w:r>
          </w:p>
        </w:tc>
        <w:tc>
          <w:tcPr>
            <w:tcW w:type="dxa" w:w="792"/>
            <w:vAlign w:val="top"/>
          </w:tcPr>
          <w:p>
            <w:r/>
            <w:r>
              <w:rPr>
                <w:b w:val="0"/>
                <w:sz w:val="13"/>
              </w:rPr>
              <w:t>M/O/D</w:t>
            </w:r>
          </w:p>
        </w:tc>
        <w:tc>
          <w:tcPr>
            <w:tcW w:type="dxa" w:w="936"/>
            <w:vAlign w:val="top"/>
          </w:tcPr>
          <w:p>
            <w:r/>
            <w:r>
              <w:rPr>
                <w:b w:val="0"/>
                <w:sz w:val="13"/>
              </w:rPr>
              <w:t>G1/G2/G3</w:t>
            </w:r>
          </w:p>
        </w:tc>
        <w:tc>
          <w:tcPr>
            <w:tcW w:type="dxa" w:w="3528"/>
            <w:vAlign w:val="top"/>
          </w:tcPr>
          <w:p>
            <w:r/>
            <w:r>
              <w:rPr>
                <w:b w:val="0"/>
                <w:sz w:val="13"/>
              </w:rPr>
              <w:t>Width/feed/trajectory + live tracking check + post-adjustment observation</w:t>
            </w:r>
          </w:p>
        </w:tc>
        <w:tc>
          <w:tcPr>
            <w:tcW w:type="dxa" w:w="2448"/>
            <w:vAlign w:val="top"/>
          </w:tcPr>
          <w:p>
            <w:r/>
            <w:r>
              <w:rPr>
                <w:b w:val="0"/>
                <w:sz w:val="13"/>
              </w:rPr>
              <w:t>Before causal/containment finalisation</w:t>
            </w:r>
          </w:p>
        </w:tc>
      </w:tr>
      <w:tr>
        <w:trPr>
          <w:cantSplit/>
        </w:trPr>
        <w:tc>
          <w:tcPr>
            <w:tcW w:type="dxa" w:w="864"/>
            <w:vAlign w:val="top"/>
          </w:tcPr>
          <w:p>
            <w:r/>
            <w:r>
              <w:rPr>
                <w:b w:val="0"/>
                <w:sz w:val="13"/>
              </w:rPr>
              <w:t>VER-007</w:t>
            </w:r>
          </w:p>
        </w:tc>
        <w:tc>
          <w:tcPr>
            <w:tcW w:type="dxa" w:w="2088"/>
            <w:vAlign w:val="top"/>
          </w:tcPr>
          <w:p>
            <w:r/>
            <w:r>
              <w:rPr>
                <w:b w:val="0"/>
                <w:sz w:val="13"/>
              </w:rPr>
              <w:t>W10 tracking envelope/source/barrier feasibility</w:t>
            </w:r>
          </w:p>
        </w:tc>
        <w:tc>
          <w:tcPr>
            <w:tcW w:type="dxa" w:w="792"/>
            <w:vAlign w:val="top"/>
          </w:tcPr>
          <w:p>
            <w:r/>
            <w:r>
              <w:rPr>
                <w:b w:val="0"/>
                <w:sz w:val="13"/>
              </w:rPr>
              <w:t>M/O/D</w:t>
            </w:r>
          </w:p>
        </w:tc>
        <w:tc>
          <w:tcPr>
            <w:tcW w:type="dxa" w:w="936"/>
            <w:vAlign w:val="top"/>
          </w:tcPr>
          <w:p>
            <w:r/>
            <w:r>
              <w:rPr>
                <w:b w:val="0"/>
                <w:sz w:val="13"/>
              </w:rPr>
              <w:t>G1/G2/G3</w:t>
            </w:r>
          </w:p>
        </w:tc>
        <w:tc>
          <w:tcPr>
            <w:tcW w:type="dxa" w:w="3528"/>
            <w:vAlign w:val="top"/>
          </w:tcPr>
          <w:p>
            <w:r/>
            <w:r>
              <w:rPr>
                <w:b w:val="0"/>
                <w:sz w:val="13"/>
              </w:rPr>
              <w:t>Tracking/geometry + source review + barrier feasibility/clearance if needed</w:t>
            </w:r>
          </w:p>
        </w:tc>
        <w:tc>
          <w:tcPr>
            <w:tcW w:type="dxa" w:w="2448"/>
            <w:vAlign w:val="top"/>
          </w:tcPr>
          <w:p>
            <w:r/>
            <w:r>
              <w:rPr>
                <w:b w:val="0"/>
                <w:sz w:val="13"/>
              </w:rPr>
              <w:t>Before barrier design/close-out</w:t>
            </w:r>
          </w:p>
        </w:tc>
      </w:tr>
      <w:tr>
        <w:trPr>
          <w:cantSplit/>
        </w:trPr>
        <w:tc>
          <w:tcPr>
            <w:tcW w:type="dxa" w:w="864"/>
            <w:vAlign w:val="top"/>
          </w:tcPr>
          <w:p>
            <w:r/>
            <w:r>
              <w:rPr>
                <w:b w:val="0"/>
                <w:sz w:val="13"/>
              </w:rPr>
              <w:t>VER-008</w:t>
            </w:r>
          </w:p>
        </w:tc>
        <w:tc>
          <w:tcPr>
            <w:tcW w:type="dxa" w:w="2088"/>
            <w:vAlign w:val="top"/>
          </w:tcPr>
          <w:p>
            <w:r/>
            <w:r>
              <w:rPr>
                <w:b w:val="0"/>
                <w:sz w:val="13"/>
              </w:rPr>
              <w:t>L3 quantitative alignment/live tracking</w:t>
            </w:r>
          </w:p>
        </w:tc>
        <w:tc>
          <w:tcPr>
            <w:tcW w:type="dxa" w:w="792"/>
            <w:vAlign w:val="top"/>
          </w:tcPr>
          <w:p>
            <w:r/>
            <w:r>
              <w:rPr>
                <w:b w:val="0"/>
                <w:sz w:val="13"/>
              </w:rPr>
              <w:t>M/O</w:t>
            </w:r>
          </w:p>
        </w:tc>
        <w:tc>
          <w:tcPr>
            <w:tcW w:type="dxa" w:w="936"/>
            <w:vAlign w:val="top"/>
          </w:tcPr>
          <w:p>
            <w:r/>
            <w:r>
              <w:rPr>
                <w:b w:val="0"/>
                <w:sz w:val="13"/>
              </w:rPr>
              <w:t>G2/G3</w:t>
            </w:r>
          </w:p>
        </w:tc>
        <w:tc>
          <w:tcPr>
            <w:tcW w:type="dxa" w:w="3528"/>
            <w:vAlign w:val="top"/>
          </w:tcPr>
          <w:p>
            <w:r/>
            <w:r>
              <w:rPr>
                <w:b w:val="0"/>
                <w:sz w:val="13"/>
              </w:rPr>
              <w:t>As-found/as-left geometry + live tracking + local post-correction condition</w:t>
            </w:r>
          </w:p>
        </w:tc>
        <w:tc>
          <w:tcPr>
            <w:tcW w:type="dxa" w:w="2448"/>
            <w:vAlign w:val="top"/>
          </w:tcPr>
          <w:p>
            <w:r/>
            <w:r>
              <w:rPr>
                <w:b w:val="0"/>
                <w:sz w:val="13"/>
              </w:rPr>
              <w:t>Before alignment close-out</w:t>
            </w:r>
          </w:p>
        </w:tc>
      </w:tr>
      <w:tr>
        <w:trPr>
          <w:cantSplit/>
        </w:trPr>
        <w:tc>
          <w:tcPr>
            <w:tcW w:type="dxa" w:w="864"/>
            <w:vAlign w:val="top"/>
          </w:tcPr>
          <w:p>
            <w:r/>
            <w:r>
              <w:rPr>
                <w:b w:val="0"/>
                <w:sz w:val="13"/>
              </w:rPr>
              <w:t>VER-009</w:t>
            </w:r>
          </w:p>
        </w:tc>
        <w:tc>
          <w:tcPr>
            <w:tcW w:type="dxa" w:w="2088"/>
            <w:vAlign w:val="top"/>
          </w:tcPr>
          <w:p>
            <w:r/>
            <w:r>
              <w:rPr>
                <w:b w:val="0"/>
                <w:sz w:val="13"/>
              </w:rPr>
              <w:t>Screens water-escape mechanism</w:t>
            </w:r>
          </w:p>
        </w:tc>
        <w:tc>
          <w:tcPr>
            <w:tcW w:type="dxa" w:w="792"/>
            <w:vAlign w:val="top"/>
          </w:tcPr>
          <w:p>
            <w:r/>
            <w:r>
              <w:rPr>
                <w:b w:val="0"/>
                <w:sz w:val="13"/>
              </w:rPr>
              <w:t>O/D/M</w:t>
            </w:r>
          </w:p>
        </w:tc>
        <w:tc>
          <w:tcPr>
            <w:tcW w:type="dxa" w:w="936"/>
            <w:vAlign w:val="top"/>
          </w:tcPr>
          <w:p>
            <w:r/>
            <w:r>
              <w:rPr>
                <w:b w:val="0"/>
                <w:sz w:val="13"/>
              </w:rPr>
              <w:t>G1/G2/G3</w:t>
            </w:r>
          </w:p>
        </w:tc>
        <w:tc>
          <w:tcPr>
            <w:tcW w:type="dxa" w:w="3528"/>
            <w:vAlign w:val="top"/>
          </w:tcPr>
          <w:p>
            <w:r/>
            <w:r>
              <w:rPr>
                <w:b w:val="0"/>
                <w:sz w:val="13"/>
              </w:rPr>
              <w:t>Shutdown mechanism record + design geometry + post-mod operating proof</w:t>
            </w:r>
          </w:p>
        </w:tc>
        <w:tc>
          <w:tcPr>
            <w:tcW w:type="dxa" w:w="2448"/>
            <w:vAlign w:val="top"/>
          </w:tcPr>
          <w:p>
            <w:r/>
            <w:r>
              <w:rPr>
                <w:b w:val="0"/>
                <w:sz w:val="13"/>
              </w:rPr>
              <w:t>Before detailed modification/close-out</w:t>
            </w:r>
          </w:p>
        </w:tc>
      </w:tr>
      <w:tr>
        <w:trPr>
          <w:cantSplit/>
        </w:trPr>
        <w:tc>
          <w:tcPr>
            <w:tcW w:type="dxa" w:w="864"/>
            <w:vAlign w:val="top"/>
          </w:tcPr>
          <w:p>
            <w:r/>
            <w:r>
              <w:rPr>
                <w:b w:val="0"/>
                <w:sz w:val="13"/>
              </w:rPr>
              <w:t>VER-010</w:t>
            </w:r>
          </w:p>
        </w:tc>
        <w:tc>
          <w:tcPr>
            <w:tcW w:type="dxa" w:w="2088"/>
            <w:vAlign w:val="top"/>
          </w:tcPr>
          <w:p>
            <w:r/>
            <w:r>
              <w:rPr>
                <w:b w:val="0"/>
                <w:sz w:val="13"/>
              </w:rPr>
              <w:t>Screens structural condition/capacity</w:t>
            </w:r>
          </w:p>
        </w:tc>
        <w:tc>
          <w:tcPr>
            <w:tcW w:type="dxa" w:w="792"/>
            <w:vAlign w:val="top"/>
          </w:tcPr>
          <w:p>
            <w:r/>
            <w:r>
              <w:rPr>
                <w:b w:val="0"/>
                <w:sz w:val="13"/>
              </w:rPr>
              <w:t>S/M</w:t>
            </w:r>
          </w:p>
        </w:tc>
        <w:tc>
          <w:tcPr>
            <w:tcW w:type="dxa" w:w="936"/>
            <w:vAlign w:val="top"/>
          </w:tcPr>
          <w:p>
            <w:r/>
            <w:r>
              <w:rPr>
                <w:b w:val="0"/>
                <w:sz w:val="13"/>
              </w:rPr>
              <w:t>G1/G2/G3</w:t>
            </w:r>
          </w:p>
        </w:tc>
        <w:tc>
          <w:tcPr>
            <w:tcW w:type="dxa" w:w="3528"/>
            <w:vAlign w:val="top"/>
          </w:tcPr>
          <w:p>
            <w:r/>
            <w:r>
              <w:rPr>
                <w:b w:val="0"/>
                <w:sz w:val="13"/>
              </w:rPr>
              <w:t>Competent assessment: members, cuts/notches, section loss, connections, capacity/repair</w:t>
            </w:r>
          </w:p>
        </w:tc>
        <w:tc>
          <w:tcPr>
            <w:tcW w:type="dxa" w:w="2448"/>
            <w:vAlign w:val="top"/>
          </w:tcPr>
          <w:p>
            <w:r/>
            <w:r>
              <w:rPr>
                <w:b w:val="0"/>
                <w:sz w:val="13"/>
              </w:rPr>
              <w:t>Before structural acceptance</w:t>
            </w:r>
          </w:p>
        </w:tc>
      </w:tr>
      <w:tr>
        <w:trPr>
          <w:cantSplit/>
        </w:trPr>
        <w:tc>
          <w:tcPr>
            <w:tcW w:type="dxa" w:w="864"/>
            <w:vAlign w:val="top"/>
          </w:tcPr>
          <w:p>
            <w:r/>
            <w:r>
              <w:rPr>
                <w:b w:val="0"/>
                <w:sz w:val="13"/>
              </w:rPr>
              <w:t>VER-011</w:t>
            </w:r>
          </w:p>
        </w:tc>
        <w:tc>
          <w:tcPr>
            <w:tcW w:type="dxa" w:w="2088"/>
            <w:vAlign w:val="top"/>
          </w:tcPr>
          <w:p>
            <w:r/>
            <w:r>
              <w:rPr>
                <w:b w:val="0"/>
                <w:sz w:val="13"/>
              </w:rPr>
              <w:t>L1 structural + belt clearance</w:t>
            </w:r>
          </w:p>
        </w:tc>
        <w:tc>
          <w:tcPr>
            <w:tcW w:type="dxa" w:w="792"/>
            <w:vAlign w:val="top"/>
          </w:tcPr>
          <w:p>
            <w:r/>
            <w:r>
              <w:rPr>
                <w:b w:val="0"/>
                <w:sz w:val="13"/>
              </w:rPr>
              <w:t>S/M/O</w:t>
            </w:r>
          </w:p>
        </w:tc>
        <w:tc>
          <w:tcPr>
            <w:tcW w:type="dxa" w:w="936"/>
            <w:vAlign w:val="top"/>
          </w:tcPr>
          <w:p>
            <w:r/>
            <w:r>
              <w:rPr>
                <w:b w:val="0"/>
                <w:sz w:val="13"/>
              </w:rPr>
              <w:t>G1/G2/G3</w:t>
            </w:r>
          </w:p>
        </w:tc>
        <w:tc>
          <w:tcPr>
            <w:tcW w:type="dxa" w:w="3528"/>
            <w:vAlign w:val="top"/>
          </w:tcPr>
          <w:p>
            <w:r/>
            <w:r>
              <w:rPr>
                <w:b w:val="0"/>
                <w:sz w:val="13"/>
              </w:rPr>
              <w:t>Competent structural record + wear/contact geometry + representative tracking/clearance</w:t>
            </w:r>
          </w:p>
        </w:tc>
        <w:tc>
          <w:tcPr>
            <w:tcW w:type="dxa" w:w="2448"/>
            <w:vAlign w:val="top"/>
          </w:tcPr>
          <w:p>
            <w:r/>
            <w:r>
              <w:rPr>
                <w:b w:val="0"/>
                <w:sz w:val="13"/>
              </w:rPr>
              <w:t>Before structural/mechanical close-out</w:t>
            </w:r>
          </w:p>
        </w:tc>
      </w:tr>
      <w:tr>
        <w:trPr>
          <w:cantSplit/>
        </w:trPr>
        <w:tc>
          <w:tcPr>
            <w:tcW w:type="dxa" w:w="864"/>
            <w:vAlign w:val="top"/>
          </w:tcPr>
          <w:p>
            <w:r/>
            <w:r>
              <w:rPr>
                <w:b w:val="0"/>
                <w:sz w:val="13"/>
              </w:rPr>
              <w:t>VER-012</w:t>
            </w:r>
          </w:p>
        </w:tc>
        <w:tc>
          <w:tcPr>
            <w:tcW w:type="dxa" w:w="2088"/>
            <w:vAlign w:val="top"/>
          </w:tcPr>
          <w:p>
            <w:r/>
            <w:r>
              <w:rPr>
                <w:b w:val="0"/>
                <w:sz w:val="13"/>
              </w:rPr>
              <w:t>Trip/restart governance</w:t>
            </w:r>
          </w:p>
        </w:tc>
        <w:tc>
          <w:tcPr>
            <w:tcW w:type="dxa" w:w="792"/>
            <w:vAlign w:val="top"/>
          </w:tcPr>
          <w:p>
            <w:r/>
            <w:r>
              <w:rPr>
                <w:b w:val="0"/>
                <w:sz w:val="13"/>
              </w:rPr>
              <w:t>C</w:t>
            </w:r>
          </w:p>
        </w:tc>
        <w:tc>
          <w:tcPr>
            <w:tcW w:type="dxa" w:w="936"/>
            <w:vAlign w:val="top"/>
          </w:tcPr>
          <w:p>
            <w:r/>
            <w:r>
              <w:rPr>
                <w:b w:val="0"/>
                <w:sz w:val="13"/>
              </w:rPr>
              <w:t>G2/G3</w:t>
            </w:r>
          </w:p>
        </w:tc>
        <w:tc>
          <w:tcPr>
            <w:tcW w:type="dxa" w:w="3528"/>
            <w:vAlign w:val="top"/>
          </w:tcPr>
          <w:p>
            <w:r/>
            <w:r>
              <w:rPr>
                <w:b w:val="0"/>
                <w:sz w:val="13"/>
              </w:rPr>
              <w:t>Approved procedure + responsibilities + laydown/recovery/reintroduction route</w:t>
            </w:r>
          </w:p>
        </w:tc>
        <w:tc>
          <w:tcPr>
            <w:tcW w:type="dxa" w:w="2448"/>
            <w:vAlign w:val="top"/>
          </w:tcPr>
          <w:p>
            <w:r/>
            <w:r>
              <w:rPr>
                <w:b w:val="0"/>
                <w:sz w:val="13"/>
              </w:rPr>
              <w:t>Before operational close-out</w:t>
            </w:r>
          </w:p>
        </w:tc>
      </w:tr>
      <w:tr>
        <w:trPr>
          <w:cantSplit/>
        </w:trPr>
        <w:tc>
          <w:tcPr>
            <w:tcW w:type="dxa" w:w="864"/>
            <w:vAlign w:val="top"/>
          </w:tcPr>
          <w:p>
            <w:r/>
            <w:r>
              <w:rPr>
                <w:b w:val="0"/>
                <w:sz w:val="13"/>
              </w:rPr>
              <w:t>VER-013</w:t>
            </w:r>
          </w:p>
        </w:tc>
        <w:tc>
          <w:tcPr>
            <w:tcW w:type="dxa" w:w="2088"/>
            <w:vAlign w:val="top"/>
          </w:tcPr>
          <w:p>
            <w:r/>
            <w:r>
              <w:rPr>
                <w:b w:val="0"/>
                <w:sz w:val="13"/>
              </w:rPr>
              <w:t>Housekeeping / recovery governance</w:t>
            </w:r>
          </w:p>
        </w:tc>
        <w:tc>
          <w:tcPr>
            <w:tcW w:type="dxa" w:w="792"/>
            <w:vAlign w:val="top"/>
          </w:tcPr>
          <w:p>
            <w:r/>
            <w:r>
              <w:rPr>
                <w:b w:val="0"/>
                <w:sz w:val="13"/>
              </w:rPr>
              <w:t>C</w:t>
            </w:r>
          </w:p>
        </w:tc>
        <w:tc>
          <w:tcPr>
            <w:tcW w:type="dxa" w:w="936"/>
            <w:vAlign w:val="top"/>
          </w:tcPr>
          <w:p>
            <w:r/>
            <w:r>
              <w:rPr>
                <w:b w:val="0"/>
                <w:sz w:val="13"/>
              </w:rPr>
              <w:t>G3</w:t>
            </w:r>
          </w:p>
        </w:tc>
        <w:tc>
          <w:tcPr>
            <w:tcW w:type="dxa" w:w="3528"/>
            <w:vAlign w:val="top"/>
          </w:tcPr>
          <w:p>
            <w:r/>
            <w:r>
              <w:rPr>
                <w:b w:val="0"/>
                <w:sz w:val="13"/>
              </w:rPr>
              <w:t>Responsibility/frequency + repeat-accumulation trend records</w:t>
            </w:r>
          </w:p>
        </w:tc>
        <w:tc>
          <w:tcPr>
            <w:tcW w:type="dxa" w:w="2448"/>
            <w:vAlign w:val="top"/>
          </w:tcPr>
          <w:p>
            <w:r/>
            <w:r>
              <w:rPr>
                <w:b w:val="0"/>
                <w:sz w:val="13"/>
              </w:rPr>
              <w:t>Ongoing performance feedback</w:t>
            </w:r>
          </w:p>
        </w:tc>
      </w:tr>
      <w:tr>
        <w:trPr>
          <w:cantSplit/>
        </w:trPr>
        <w:tc>
          <w:tcPr>
            <w:tcW w:type="dxa" w:w="864"/>
            <w:vAlign w:val="top"/>
          </w:tcPr>
          <w:p>
            <w:r/>
            <w:r>
              <w:rPr>
                <w:b w:val="0"/>
                <w:sz w:val="13"/>
              </w:rPr>
              <w:t>VER-014</w:t>
            </w:r>
          </w:p>
        </w:tc>
        <w:tc>
          <w:tcPr>
            <w:tcW w:type="dxa" w:w="2088"/>
            <w:vAlign w:val="top"/>
          </w:tcPr>
          <w:p>
            <w:r/>
            <w:r>
              <w:rPr>
                <w:b w:val="0"/>
                <w:sz w:val="13"/>
              </w:rPr>
              <w:t>Wider applicability / rollout</w:t>
            </w:r>
          </w:p>
        </w:tc>
        <w:tc>
          <w:tcPr>
            <w:tcW w:type="dxa" w:w="792"/>
            <w:vAlign w:val="top"/>
          </w:tcPr>
          <w:p>
            <w:r/>
            <w:r>
              <w:rPr>
                <w:b w:val="0"/>
                <w:sz w:val="13"/>
              </w:rPr>
              <w:t>A</w:t>
            </w:r>
          </w:p>
        </w:tc>
        <w:tc>
          <w:tcPr>
            <w:tcW w:type="dxa" w:w="936"/>
            <w:vAlign w:val="top"/>
          </w:tcPr>
          <w:p>
            <w:r/>
            <w:r>
              <w:rPr>
                <w:b w:val="0"/>
                <w:sz w:val="13"/>
              </w:rPr>
              <w:t>G4</w:t>
            </w:r>
          </w:p>
        </w:tc>
        <w:tc>
          <w:tcPr>
            <w:tcW w:type="dxa" w:w="3528"/>
            <w:vAlign w:val="top"/>
          </w:tcPr>
          <w:p>
            <w:r/>
            <w:r>
              <w:rPr>
                <w:b w:val="0"/>
                <w:sz w:val="13"/>
              </w:rPr>
              <w:t>Proven pilot/local result + location-specific mechanism/geometry/access review</w:t>
            </w:r>
          </w:p>
        </w:tc>
        <w:tc>
          <w:tcPr>
            <w:tcW w:type="dxa" w:w="2448"/>
            <w:vAlign w:val="top"/>
          </w:tcPr>
          <w:p>
            <w:r/>
            <w:r>
              <w:rPr>
                <w:b w:val="0"/>
                <w:sz w:val="13"/>
              </w:rPr>
              <w:t>Before standardisation/rollout</w:t>
            </w:r>
          </w:p>
        </w:tc>
      </w:tr>
    </w:tbl>
    <w:p>
      <w:pPr>
        <w:pStyle w:val="Heading1"/>
        <w:keepNext/>
      </w:pPr>
      <w:r>
        <w:rPr>
          <w:rFonts w:ascii="Arial" w:hAnsi="Arial"/>
          <w:b/>
        </w:rPr>
        <w:t>Appendix E — Conceptual Engineering Drawings</w:t>
      </w:r>
    </w:p>
    <w:p>
      <w:pPr>
        <w:pStyle w:val="BodyText"/>
        <w:keepLines w:val="0"/>
        <w:spacing w:after="80" w:line="252" w:lineRule="auto"/>
      </w:pPr>
      <w:r>
        <w:t>Appendix E controls the current conceptual engineering figures. These figures are accepted for the present report compilation as explanatory concepts but remain subject to later engineer review, technical refinement and site-geometry verification. They are not fabrication drawings and are not inspection evidence.</w:t>
      </w:r>
    </w:p>
    <w:tbl>
      <w:tblPr>
        <w:tblStyle w:val="TableGrid"/>
        <w:tblW w:type="auto" w:w="0"/>
        <w:jc w:val="center"/>
        <w:tblLook w:firstColumn="1" w:firstRow="1" w:lastColumn="0" w:lastRow="0" w:noHBand="0" w:noVBand="1" w:val="04A0"/>
      </w:tblPr>
      <w:tblGrid>
        <w:gridCol w:w="2438"/>
        <w:gridCol w:w="2438"/>
        <w:gridCol w:w="2438"/>
        <w:gridCol w:w="2438"/>
      </w:tblGrid>
      <w:tr>
        <w:trPr>
          <w:cantSplit/>
        </w:trPr>
        <w:tc>
          <w:tcPr>
            <w:tcW w:type="dxa" w:w="1080"/>
            <w:vAlign w:val="center"/>
          </w:tcPr>
          <w:p>
            <w:r/>
            <w:r>
              <w:rPr>
                <w:b/>
                <w:sz w:val="15"/>
              </w:rPr>
              <w:t>ID</w:t>
            </w:r>
          </w:p>
        </w:tc>
        <w:tc>
          <w:tcPr>
            <w:tcW w:type="dxa" w:w="3456"/>
            <w:vAlign w:val="center"/>
          </w:tcPr>
          <w:p>
            <w:r/>
            <w:r>
              <w:rPr>
                <w:b/>
                <w:sz w:val="15"/>
              </w:rPr>
              <w:t>Title</w:t>
            </w:r>
          </w:p>
        </w:tc>
        <w:tc>
          <w:tcPr>
            <w:tcW w:type="dxa" w:w="2160"/>
            <w:vAlign w:val="center"/>
          </w:tcPr>
          <w:p>
            <w:r/>
            <w:r>
              <w:rPr>
                <w:b/>
                <w:sz w:val="15"/>
              </w:rPr>
              <w:t>Report use</w:t>
            </w:r>
          </w:p>
        </w:tc>
        <w:tc>
          <w:tcPr>
            <w:tcW w:type="dxa" w:w="4032"/>
            <w:vAlign w:val="center"/>
          </w:tcPr>
          <w:p>
            <w:r/>
            <w:r>
              <w:rPr>
                <w:b/>
                <w:sz w:val="15"/>
              </w:rPr>
              <w:t>Current control status</w:t>
            </w:r>
          </w:p>
        </w:tc>
      </w:tr>
      <w:tr>
        <w:trPr>
          <w:cantSplit/>
        </w:trPr>
        <w:tc>
          <w:tcPr>
            <w:tcW w:type="dxa" w:w="1080"/>
            <w:vAlign w:val="top"/>
          </w:tcPr>
          <w:p>
            <w:r/>
            <w:r>
              <w:rPr>
                <w:b w:val="0"/>
                <w:sz w:val="15"/>
              </w:rPr>
              <w:t>CTD-001</w:t>
            </w:r>
          </w:p>
        </w:tc>
        <w:tc>
          <w:tcPr>
            <w:tcW w:type="dxa" w:w="3456"/>
            <w:vAlign w:val="top"/>
          </w:tcPr>
          <w:p>
            <w:r/>
            <w:r>
              <w:rPr>
                <w:b w:val="0"/>
                <w:sz w:val="15"/>
              </w:rPr>
              <w:t>CV09 Cleaner and Process-Containment Concept</w:t>
            </w:r>
          </w:p>
        </w:tc>
        <w:tc>
          <w:tcPr>
            <w:tcW w:type="dxa" w:w="2160"/>
            <w:vAlign w:val="top"/>
          </w:tcPr>
          <w:p>
            <w:r/>
            <w:r>
              <w:rPr>
                <w:b w:val="0"/>
                <w:sz w:val="15"/>
              </w:rPr>
              <w:t>Body Part IV / Appendix E</w:t>
            </w:r>
          </w:p>
        </w:tc>
        <w:tc>
          <w:tcPr>
            <w:tcW w:type="dxa" w:w="4032"/>
            <w:vAlign w:val="top"/>
          </w:tcPr>
          <w:p>
            <w:r/>
            <w:r>
              <w:rPr>
                <w:b w:val="0"/>
                <w:sz w:val="15"/>
              </w:rPr>
              <w:t>Working concept accepted for report; engineer review/refinement deferred.</w:t>
            </w:r>
          </w:p>
        </w:tc>
      </w:tr>
      <w:tr>
        <w:trPr>
          <w:cantSplit/>
        </w:trPr>
        <w:tc>
          <w:tcPr>
            <w:tcW w:type="dxa" w:w="1080"/>
            <w:vAlign w:val="top"/>
          </w:tcPr>
          <w:p>
            <w:r/>
            <w:r>
              <w:rPr>
                <w:b w:val="0"/>
                <w:sz w:val="15"/>
              </w:rPr>
              <w:t>CTD-002</w:t>
            </w:r>
          </w:p>
        </w:tc>
        <w:tc>
          <w:tcPr>
            <w:tcW w:type="dxa" w:w="3456"/>
            <w:vAlign w:val="top"/>
          </w:tcPr>
          <w:p>
            <w:r/>
            <w:r>
              <w:rPr>
                <w:b w:val="0"/>
                <w:sz w:val="15"/>
              </w:rPr>
              <w:t>W10 Side-Containment Barrier Principle</w:t>
            </w:r>
          </w:p>
        </w:tc>
        <w:tc>
          <w:tcPr>
            <w:tcW w:type="dxa" w:w="2160"/>
            <w:vAlign w:val="top"/>
          </w:tcPr>
          <w:p>
            <w:r/>
            <w:r>
              <w:rPr>
                <w:b w:val="0"/>
                <w:sz w:val="15"/>
              </w:rPr>
              <w:t>Body Part V / Appendix E</w:t>
            </w:r>
          </w:p>
        </w:tc>
        <w:tc>
          <w:tcPr>
            <w:tcW w:type="dxa" w:w="4032"/>
            <w:vAlign w:val="top"/>
          </w:tcPr>
          <w:p>
            <w:r/>
            <w:r>
              <w:rPr>
                <w:b w:val="0"/>
                <w:sz w:val="15"/>
              </w:rPr>
              <w:t>Secondary barrier concept; tracking/clearance/site geometry to be verified.</w:t>
            </w:r>
          </w:p>
        </w:tc>
      </w:tr>
      <w:tr>
        <w:trPr>
          <w:cantSplit/>
        </w:trPr>
        <w:tc>
          <w:tcPr>
            <w:tcW w:type="dxa" w:w="1080"/>
            <w:vAlign w:val="top"/>
          </w:tcPr>
          <w:p>
            <w:r/>
            <w:r>
              <w:rPr>
                <w:b w:val="0"/>
                <w:sz w:val="15"/>
              </w:rPr>
              <w:t>CTD-003</w:t>
            </w:r>
          </w:p>
        </w:tc>
        <w:tc>
          <w:tcPr>
            <w:tcW w:type="dxa" w:w="3456"/>
            <w:vAlign w:val="top"/>
          </w:tcPr>
          <w:p>
            <w:r/>
            <w:r>
              <w:rPr>
                <w:b w:val="0"/>
                <w:sz w:val="15"/>
              </w:rPr>
              <w:t>Sample Conveyor Containment-Control Hierarchy</w:t>
            </w:r>
          </w:p>
        </w:tc>
        <w:tc>
          <w:tcPr>
            <w:tcW w:type="dxa" w:w="2160"/>
            <w:vAlign w:val="top"/>
          </w:tcPr>
          <w:p>
            <w:r/>
            <w:r>
              <w:rPr>
                <w:b w:val="0"/>
                <w:sz w:val="15"/>
              </w:rPr>
              <w:t>Body Part V / Appendix E</w:t>
            </w:r>
          </w:p>
        </w:tc>
        <w:tc>
          <w:tcPr>
            <w:tcW w:type="dxa" w:w="4032"/>
            <w:vAlign w:val="top"/>
          </w:tcPr>
          <w:p>
            <w:r/>
            <w:r>
              <w:rPr>
                <w:b w:val="0"/>
                <w:sz w:val="15"/>
              </w:rPr>
              <w:t>Instructional hierarchy; not site-specific final geometry.</w:t>
            </w:r>
          </w:p>
        </w:tc>
      </w:tr>
      <w:tr>
        <w:trPr>
          <w:cantSplit/>
        </w:trPr>
        <w:tc>
          <w:tcPr>
            <w:tcW w:type="dxa" w:w="1080"/>
            <w:vAlign w:val="top"/>
          </w:tcPr>
          <w:p>
            <w:r/>
            <w:r>
              <w:rPr>
                <w:b w:val="0"/>
                <w:sz w:val="15"/>
              </w:rPr>
              <w:t>CTD-004</w:t>
            </w:r>
          </w:p>
        </w:tc>
        <w:tc>
          <w:tcPr>
            <w:tcW w:type="dxa" w:w="3456"/>
            <w:vAlign w:val="top"/>
          </w:tcPr>
          <w:p>
            <w:r/>
            <w:r>
              <w:rPr>
                <w:b w:val="0"/>
                <w:sz w:val="15"/>
              </w:rPr>
              <w:t>Cause Location vs Deposit Location</w:t>
            </w:r>
          </w:p>
        </w:tc>
        <w:tc>
          <w:tcPr>
            <w:tcW w:type="dxa" w:w="2160"/>
            <w:vAlign w:val="top"/>
          </w:tcPr>
          <w:p>
            <w:r/>
            <w:r>
              <w:rPr>
                <w:b w:val="0"/>
                <w:sz w:val="15"/>
              </w:rPr>
              <w:t>Body Part II / Appendix E</w:t>
            </w:r>
          </w:p>
        </w:tc>
        <w:tc>
          <w:tcPr>
            <w:tcW w:type="dxa" w:w="4032"/>
            <w:vAlign w:val="top"/>
          </w:tcPr>
          <w:p>
            <w:r/>
            <w:r>
              <w:rPr>
                <w:b w:val="0"/>
                <w:sz w:val="15"/>
              </w:rPr>
              <w:t>Explanatory audit principle; conceptual, not inspection evidence.</w:t>
            </w:r>
          </w:p>
        </w:tc>
      </w:tr>
    </w:tbl>
    <w:p>
      <w:pPr>
        <w:keepNext/>
        <w:jc w:val="center"/>
      </w:pPr>
      <w:r>
        <w:drawing>
          <wp:inline xmlns:a="http://schemas.openxmlformats.org/drawingml/2006/main" xmlns:pic="http://schemas.openxmlformats.org/drawingml/2006/picture">
            <wp:extent cx="5303520" cy="3752658"/>
            <wp:docPr id="54" name="Picture 54"/>
            <wp:cNvGraphicFramePr>
              <a:graphicFrameLocks noChangeAspect="1"/>
            </wp:cNvGraphicFramePr>
            <a:graphic>
              <a:graphicData uri="http://schemas.openxmlformats.org/drawingml/2006/picture">
                <pic:pic>
                  <pic:nvPicPr>
                    <pic:cNvPr id="0" name="cv09_cleaner_and_process_containment_concept.png"/>
                    <pic:cNvPicPr/>
                  </pic:nvPicPr>
                  <pic:blipFill>
                    <a:blip r:embed="rId59"/>
                    <a:stretch>
                      <a:fillRect/>
                    </a:stretch>
                  </pic:blipFill>
                  <pic:spPr>
                    <a:xfrm>
                      <a:off x="0" y="0"/>
                      <a:ext cx="5303520" cy="3752658"/>
                    </a:xfrm>
                    <a:prstGeom prst="rect"/>
                  </pic:spPr>
                </pic:pic>
              </a:graphicData>
            </a:graphic>
          </wp:inline>
        </w:drawing>
      </w:r>
    </w:p>
    <w:p>
      <w:pPr>
        <w:pStyle w:val="Caption"/>
        <w:keepNext w:val="0"/>
        <w:keepLines/>
        <w:jc w:val="center"/>
      </w:pPr>
      <w:r>
        <w:t>CTD-001 — CV09 Cleaner and Process-Containment Concept — CONCEPTUAL ONLY / NOT FOR FABRICATION / DIMENSIONS TO BE VERIFIED WHERE APPLICABLE.</w:t>
      </w:r>
    </w:p>
    <w:p>
      <w:pPr>
        <w:keepNext/>
        <w:jc w:val="center"/>
      </w:pPr>
      <w:r>
        <w:drawing>
          <wp:inline xmlns:a="http://schemas.openxmlformats.org/drawingml/2006/main" xmlns:pic="http://schemas.openxmlformats.org/drawingml/2006/picture">
            <wp:extent cx="5303520" cy="3752658"/>
            <wp:docPr id="55" name="Picture 55"/>
            <wp:cNvGraphicFramePr>
              <a:graphicFrameLocks noChangeAspect="1"/>
            </wp:cNvGraphicFramePr>
            <a:graphic>
              <a:graphicData uri="http://schemas.openxmlformats.org/drawingml/2006/picture">
                <pic:pic>
                  <pic:nvPicPr>
                    <pic:cNvPr id="0" name="conveyor_barrier_containment_concept.png"/>
                    <pic:cNvPicPr/>
                  </pic:nvPicPr>
                  <pic:blipFill>
                    <a:blip r:embed="rId60"/>
                    <a:stretch>
                      <a:fillRect/>
                    </a:stretch>
                  </pic:blipFill>
                  <pic:spPr>
                    <a:xfrm>
                      <a:off x="0" y="0"/>
                      <a:ext cx="5303520" cy="3752658"/>
                    </a:xfrm>
                    <a:prstGeom prst="rect"/>
                  </pic:spPr>
                </pic:pic>
              </a:graphicData>
            </a:graphic>
          </wp:inline>
        </w:drawing>
      </w:r>
    </w:p>
    <w:p>
      <w:pPr>
        <w:pStyle w:val="Caption"/>
        <w:keepNext w:val="0"/>
        <w:keepLines/>
        <w:jc w:val="center"/>
      </w:pPr>
      <w:r>
        <w:t>CTD-002 — W10 Side-Containment Barrier Principle — CONCEPTUAL ONLY / NOT FOR FABRICATION / DIMENSIONS TO BE VERIFIED WHERE APPLICABLE.</w:t>
      </w:r>
    </w:p>
    <w:p>
      <w:pPr>
        <w:keepNext/>
        <w:jc w:val="center"/>
      </w:pPr>
      <w:r>
        <w:drawing>
          <wp:inline xmlns:a="http://schemas.openxmlformats.org/drawingml/2006/main" xmlns:pic="http://schemas.openxmlformats.org/drawingml/2006/picture">
            <wp:extent cx="5303520" cy="3752658"/>
            <wp:docPr id="56" name="Picture 56"/>
            <wp:cNvGraphicFramePr>
              <a:graphicFrameLocks noChangeAspect="1"/>
            </wp:cNvGraphicFramePr>
            <a:graphic>
              <a:graphicData uri="http://schemas.openxmlformats.org/drawingml/2006/picture">
                <pic:pic>
                  <pic:nvPicPr>
                    <pic:cNvPr id="0" name="conveyor_containment_control_hierarchy.png"/>
                    <pic:cNvPicPr/>
                  </pic:nvPicPr>
                  <pic:blipFill>
                    <a:blip r:embed="rId61"/>
                    <a:stretch>
                      <a:fillRect/>
                    </a:stretch>
                  </pic:blipFill>
                  <pic:spPr>
                    <a:xfrm>
                      <a:off x="0" y="0"/>
                      <a:ext cx="5303520" cy="3752658"/>
                    </a:xfrm>
                    <a:prstGeom prst="rect"/>
                  </pic:spPr>
                </pic:pic>
              </a:graphicData>
            </a:graphic>
          </wp:inline>
        </w:drawing>
      </w:r>
    </w:p>
    <w:p>
      <w:pPr>
        <w:pStyle w:val="Caption"/>
        <w:keepNext w:val="0"/>
        <w:keepLines/>
        <w:jc w:val="center"/>
      </w:pPr>
      <w:r>
        <w:t>CTD-003 — Sample Conveyor Containment-Control Hierarchy — CONCEPTUAL ONLY / NOT FOR FABRICATION / DIMENSIONS TO BE VERIFIED WHERE APPLICABLE.</w:t>
      </w:r>
    </w:p>
    <w:p>
      <w:pPr>
        <w:keepNext/>
        <w:jc w:val="center"/>
      </w:pPr>
      <w:r>
        <w:drawing>
          <wp:inline xmlns:a="http://schemas.openxmlformats.org/drawingml/2006/main" xmlns:pic="http://schemas.openxmlformats.org/drawingml/2006/picture">
            <wp:extent cx="5303520" cy="3752658"/>
            <wp:docPr id="57" name="Picture 57"/>
            <wp:cNvGraphicFramePr>
              <a:graphicFrameLocks noChangeAspect="1"/>
            </wp:cNvGraphicFramePr>
            <a:graphic>
              <a:graphicData uri="http://schemas.openxmlformats.org/drawingml/2006/picture">
                <pic:pic>
                  <pic:nvPicPr>
                    <pic:cNvPr id="0" name="cause_location_vs_deposit_location.png"/>
                    <pic:cNvPicPr/>
                  </pic:nvPicPr>
                  <pic:blipFill>
                    <a:blip r:embed="rId58"/>
                    <a:stretch>
                      <a:fillRect/>
                    </a:stretch>
                  </pic:blipFill>
                  <pic:spPr>
                    <a:xfrm>
                      <a:off x="0" y="0"/>
                      <a:ext cx="5303520" cy="3752658"/>
                    </a:xfrm>
                    <a:prstGeom prst="rect"/>
                  </pic:spPr>
                </pic:pic>
              </a:graphicData>
            </a:graphic>
          </wp:inline>
        </w:drawing>
      </w:r>
    </w:p>
    <w:p>
      <w:pPr>
        <w:pStyle w:val="Caption"/>
        <w:keepNext w:val="0"/>
        <w:keepLines/>
        <w:jc w:val="center"/>
      </w:pPr>
      <w:r>
        <w:t>CTD-004 — Cause Location vs Deposit Location — CONCEPTUAL ONLY / NOT FOR FABRICATION / DIMENSIONS TO BE VERIFIED WHERE APPLICABLE.</w:t>
      </w:r>
    </w:p>
    <w:p>
      <w:pPr>
        <w:pStyle w:val="Heading1"/>
        <w:keepNext/>
      </w:pPr>
      <w:r>
        <w:rPr>
          <w:rFonts w:ascii="Arial" w:hAnsi="Arial"/>
          <w:b/>
        </w:rPr>
        <w:t>Appendix F — Source Records</w:t>
      </w:r>
    </w:p>
    <w:p>
      <w:pPr>
        <w:pStyle w:val="BodyText"/>
        <w:keepLines w:val="0"/>
        <w:spacing w:after="80" w:line="252" w:lineRule="auto"/>
      </w:pPr>
      <w:r>
        <w:t>Appendix F identifies the controlled source records used to develop, verify and compile this report. Historical context files remain historical; current control is maintained through the consolidated V3.9 context, Phase 7 addendum, evidence index/matrix, Phase 7 controlled drafts/registers and the V0.2/V0.3 report lineage.</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1872"/>
            <w:vAlign w:val="center"/>
          </w:tcPr>
          <w:p>
            <w:r/>
            <w:r>
              <w:rPr>
                <w:b/>
                <w:sz w:val="14"/>
              </w:rPr>
              <w:t>Source class</w:t>
            </w:r>
          </w:p>
        </w:tc>
        <w:tc>
          <w:tcPr>
            <w:tcW w:type="dxa" w:w="4896"/>
            <w:vAlign w:val="center"/>
          </w:tcPr>
          <w:p>
            <w:r/>
            <w:r>
              <w:rPr>
                <w:b/>
                <w:sz w:val="14"/>
              </w:rPr>
              <w:t>Controlled record</w:t>
            </w:r>
          </w:p>
        </w:tc>
        <w:tc>
          <w:tcPr>
            <w:tcW w:type="dxa" w:w="3888"/>
            <w:vAlign w:val="center"/>
          </w:tcPr>
          <w:p>
            <w:r/>
            <w:r>
              <w:rPr>
                <w:b/>
                <w:sz w:val="14"/>
              </w:rPr>
              <w:t>Role / status</w:t>
            </w:r>
          </w:p>
        </w:tc>
      </w:tr>
      <w:tr>
        <w:trPr>
          <w:cantSplit/>
        </w:trPr>
        <w:tc>
          <w:tcPr>
            <w:tcW w:type="dxa" w:w="1872"/>
            <w:vAlign w:val="top"/>
          </w:tcPr>
          <w:p>
            <w:r/>
            <w:r>
              <w:rPr>
                <w:b w:val="0"/>
                <w:sz w:val="14"/>
              </w:rPr>
              <w:t>Inspection questionnaires</w:t>
            </w:r>
          </w:p>
        </w:tc>
        <w:tc>
          <w:tcPr>
            <w:tcW w:type="dxa" w:w="4896"/>
            <w:vAlign w:val="top"/>
          </w:tcPr>
          <w:p>
            <w:r/>
            <w:r>
              <w:rPr>
                <w:b w:val="0"/>
                <w:sz w:val="14"/>
              </w:rPr>
              <w:t>Context/Questionaires/Running_Report_Contextual_Spillage_Questionnaire_ResponseV1.docx; V2.docx</w:t>
            </w:r>
          </w:p>
        </w:tc>
        <w:tc>
          <w:tcPr>
            <w:tcW w:type="dxa" w:w="3888"/>
            <w:vAlign w:val="top"/>
          </w:tcPr>
          <w:p>
            <w:r/>
            <w:r>
              <w:rPr>
                <w:b w:val="0"/>
                <w:sz w:val="14"/>
              </w:rPr>
              <w:t>Source-recorded inspection/operational context; V2 is later expanded source.</w:t>
            </w:r>
          </w:p>
        </w:tc>
      </w:tr>
      <w:tr>
        <w:trPr>
          <w:cantSplit/>
        </w:trPr>
        <w:tc>
          <w:tcPr>
            <w:tcW w:type="dxa" w:w="1872"/>
            <w:vAlign w:val="top"/>
          </w:tcPr>
          <w:p>
            <w:r/>
            <w:r>
              <w:rPr>
                <w:b w:val="0"/>
                <w:sz w:val="14"/>
              </w:rPr>
              <w:t>Consolidated engineering context</w:t>
            </w:r>
          </w:p>
        </w:tc>
        <w:tc>
          <w:tcPr>
            <w:tcW w:type="dxa" w:w="4896"/>
            <w:vAlign w:val="top"/>
          </w:tcPr>
          <w:p>
            <w:r/>
            <w:r>
              <w:rPr>
                <w:b w:val="0"/>
                <w:sz w:val="14"/>
              </w:rPr>
              <w:t>Context/Running_Report_Contextual_Spillage_NotesV3.9.docx</w:t>
            </w:r>
          </w:p>
        </w:tc>
        <w:tc>
          <w:tcPr>
            <w:tcW w:type="dxa" w:w="3888"/>
            <w:vAlign w:val="top"/>
          </w:tcPr>
          <w:p>
            <w:r/>
            <w:r>
              <w:rPr>
                <w:b w:val="0"/>
                <w:sz w:val="14"/>
              </w:rPr>
              <w:t>Primary consolidated engineering context entering Phase 6/7.</w:t>
            </w:r>
          </w:p>
        </w:tc>
      </w:tr>
      <w:tr>
        <w:trPr>
          <w:cantSplit/>
        </w:trPr>
        <w:tc>
          <w:tcPr>
            <w:tcW w:type="dxa" w:w="1872"/>
            <w:vAlign w:val="top"/>
          </w:tcPr>
          <w:p>
            <w:r/>
            <w:r>
              <w:rPr>
                <w:b w:val="0"/>
                <w:sz w:val="14"/>
              </w:rPr>
              <w:t>Phase 6 historical addendum</w:t>
            </w:r>
          </w:p>
        </w:tc>
        <w:tc>
          <w:tcPr>
            <w:tcW w:type="dxa" w:w="4896"/>
            <w:vAlign w:val="top"/>
          </w:tcPr>
          <w:p>
            <w:r/>
            <w:r>
              <w:rPr>
                <w:b w:val="0"/>
                <w:sz w:val="14"/>
              </w:rPr>
              <w:t>Context/Running_Report_Contextual_Spillage_NotesV3.10_Phase6_Addendum.md</w:t>
            </w:r>
          </w:p>
        </w:tc>
        <w:tc>
          <w:tcPr>
            <w:tcW w:type="dxa" w:w="3888"/>
            <w:vAlign w:val="top"/>
          </w:tcPr>
          <w:p>
            <w:r/>
            <w:r>
              <w:rPr>
                <w:b w:val="0"/>
                <w:sz w:val="14"/>
              </w:rPr>
              <w:t>Historical Phase 6 assembly context; preserved, not overwritten.</w:t>
            </w:r>
          </w:p>
        </w:tc>
      </w:tr>
      <w:tr>
        <w:trPr>
          <w:cantSplit/>
        </w:trPr>
        <w:tc>
          <w:tcPr>
            <w:tcW w:type="dxa" w:w="1872"/>
            <w:vAlign w:val="top"/>
          </w:tcPr>
          <w:p>
            <w:r/>
            <w:r>
              <w:rPr>
                <w:b w:val="0"/>
                <w:sz w:val="14"/>
              </w:rPr>
              <w:t>Phase 7 current addendum</w:t>
            </w:r>
          </w:p>
        </w:tc>
        <w:tc>
          <w:tcPr>
            <w:tcW w:type="dxa" w:w="4896"/>
            <w:vAlign w:val="top"/>
          </w:tcPr>
          <w:p>
            <w:r/>
            <w:r>
              <w:rPr>
                <w:b w:val="0"/>
                <w:sz w:val="14"/>
              </w:rPr>
              <w:t>Context/Running_Report_Contextual_Spillage_NotesV3.11_Phase7_Addendum.md</w:t>
            </w:r>
          </w:p>
        </w:tc>
        <w:tc>
          <w:tcPr>
            <w:tcW w:type="dxa" w:w="3888"/>
            <w:vAlign w:val="top"/>
          </w:tcPr>
          <w:p>
            <w:r/>
            <w:r>
              <w:rPr>
                <w:b w:val="0"/>
                <w:sz w:val="14"/>
              </w:rPr>
              <w:t>Current Phase 7 refinement/control context.</w:t>
            </w:r>
          </w:p>
        </w:tc>
      </w:tr>
      <w:tr>
        <w:trPr>
          <w:cantSplit/>
        </w:trPr>
        <w:tc>
          <w:tcPr>
            <w:tcW w:type="dxa" w:w="1872"/>
            <w:vAlign w:val="top"/>
          </w:tcPr>
          <w:p>
            <w:r/>
            <w:r>
              <w:rPr>
                <w:b w:val="0"/>
                <w:sz w:val="14"/>
              </w:rPr>
              <w:t>Evidence index</w:t>
            </w:r>
          </w:p>
        </w:tc>
        <w:tc>
          <w:tcPr>
            <w:tcW w:type="dxa" w:w="4896"/>
            <w:vAlign w:val="top"/>
          </w:tcPr>
          <w:p>
            <w:r/>
            <w:r>
              <w:rPr>
                <w:b w:val="0"/>
                <w:sz w:val="14"/>
              </w:rPr>
              <w:t>Report-Working/evidence_index.md</w:t>
            </w:r>
          </w:p>
        </w:tc>
        <w:tc>
          <w:tcPr>
            <w:tcW w:type="dxa" w:w="3888"/>
            <w:vAlign w:val="top"/>
          </w:tcPr>
          <w:p>
            <w:r/>
            <w:r>
              <w:rPr>
                <w:b w:val="0"/>
                <w:sz w:val="14"/>
              </w:rPr>
              <w:t>23-group repository inventory, visual-review status and first-draft figure candidates.</w:t>
            </w:r>
          </w:p>
        </w:tc>
      </w:tr>
      <w:tr>
        <w:trPr>
          <w:cantSplit/>
        </w:trPr>
        <w:tc>
          <w:tcPr>
            <w:tcW w:type="dxa" w:w="1872"/>
            <w:vAlign w:val="top"/>
          </w:tcPr>
          <w:p>
            <w:r/>
            <w:r>
              <w:rPr>
                <w:b w:val="0"/>
                <w:sz w:val="14"/>
              </w:rPr>
              <w:t>Visual-review records</w:t>
            </w:r>
          </w:p>
        </w:tc>
        <w:tc>
          <w:tcPr>
            <w:tcW w:type="dxa" w:w="4896"/>
            <w:vAlign w:val="top"/>
          </w:tcPr>
          <w:p>
            <w:r/>
            <w:r>
              <w:rPr>
                <w:b w:val="0"/>
                <w:sz w:val="14"/>
              </w:rPr>
              <w:t>Report-Working/evidence_visual_review_batch_A.md through _F.md</w:t>
            </w:r>
          </w:p>
        </w:tc>
        <w:tc>
          <w:tcPr>
            <w:tcW w:type="dxa" w:w="3888"/>
            <w:vAlign w:val="top"/>
          </w:tcPr>
          <w:p>
            <w:r/>
            <w:r>
              <w:rPr>
                <w:b w:val="0"/>
                <w:sz w:val="14"/>
              </w:rPr>
              <w:t>Detailed per-item visual evidence strength, limitation and qualification.</w:t>
            </w:r>
          </w:p>
        </w:tc>
      </w:tr>
      <w:tr>
        <w:trPr>
          <w:cantSplit/>
        </w:trPr>
        <w:tc>
          <w:tcPr>
            <w:tcW w:type="dxa" w:w="1872"/>
            <w:vAlign w:val="top"/>
          </w:tcPr>
          <w:p>
            <w:r/>
            <w:r>
              <w:rPr>
                <w:b w:val="0"/>
                <w:sz w:val="14"/>
              </w:rPr>
              <w:t>Evidence/story matrix</w:t>
            </w:r>
          </w:p>
        </w:tc>
        <w:tc>
          <w:tcPr>
            <w:tcW w:type="dxa" w:w="4896"/>
            <w:vAlign w:val="top"/>
          </w:tcPr>
          <w:p>
            <w:r/>
            <w:r>
              <w:rPr>
                <w:b w:val="0"/>
                <w:sz w:val="14"/>
              </w:rPr>
              <w:t>Report-Working/SpillageReport/EVIDENCE_STORY_MATRIX_V0.1.csv / .md</w:t>
            </w:r>
          </w:p>
        </w:tc>
        <w:tc>
          <w:tcPr>
            <w:tcW w:type="dxa" w:w="3888"/>
            <w:vAlign w:val="top"/>
          </w:tcPr>
          <w:p>
            <w:r/>
            <w:r>
              <w:rPr>
                <w:b w:val="0"/>
                <w:sz w:val="14"/>
              </w:rPr>
              <w:t>197-row controlled classification; final 75 E / 44 S / 78 A / 0 X; all accepted.</w:t>
            </w:r>
          </w:p>
        </w:tc>
      </w:tr>
      <w:tr>
        <w:trPr>
          <w:cantSplit/>
        </w:trPr>
        <w:tc>
          <w:tcPr>
            <w:tcW w:type="dxa" w:w="1872"/>
            <w:vAlign w:val="top"/>
          </w:tcPr>
          <w:p>
            <w:r/>
            <w:r>
              <w:rPr>
                <w:b w:val="0"/>
                <w:sz w:val="14"/>
              </w:rPr>
              <w:t>Narrative architecture / outline</w:t>
            </w:r>
          </w:p>
        </w:tc>
        <w:tc>
          <w:tcPr>
            <w:tcW w:type="dxa" w:w="4896"/>
            <w:vAlign w:val="top"/>
          </w:tcPr>
          <w:p>
            <w:r/>
            <w:r>
              <w:rPr>
                <w:b w:val="0"/>
                <w:sz w:val="14"/>
              </w:rPr>
              <w:t>REPORT_NARRATIVE_ARCHITECTURE.md; REPORT_NARRATIVE_OUTLINE_V0.1.md</w:t>
            </w:r>
          </w:p>
        </w:tc>
        <w:tc>
          <w:tcPr>
            <w:tcW w:type="dxa" w:w="3888"/>
            <w:vAlign w:val="top"/>
          </w:tcPr>
          <w:p>
            <w:r/>
            <w:r>
              <w:rPr>
                <w:b w:val="0"/>
                <w:sz w:val="14"/>
              </w:rPr>
              <w:t>Accepted report identity, Parts I-XII journey and mechanism-based narrative.</w:t>
            </w:r>
          </w:p>
        </w:tc>
      </w:tr>
      <w:tr>
        <w:trPr>
          <w:cantSplit/>
        </w:trPr>
        <w:tc>
          <w:tcPr>
            <w:tcW w:type="dxa" w:w="1872"/>
            <w:vAlign w:val="top"/>
          </w:tcPr>
          <w:p>
            <w:r/>
            <w:r>
              <w:rPr>
                <w:b w:val="0"/>
                <w:sz w:val="14"/>
              </w:rPr>
              <w:t>Phase 6 closure</w:t>
            </w:r>
          </w:p>
        </w:tc>
        <w:tc>
          <w:tcPr>
            <w:tcW w:type="dxa" w:w="4896"/>
            <w:vAlign w:val="top"/>
          </w:tcPr>
          <w:p>
            <w:r/>
            <w:r>
              <w:rPr>
                <w:b w:val="0"/>
                <w:sz w:val="14"/>
              </w:rPr>
              <w:t>PHASE6_ASSEMBLY_CLOSURE.md</w:t>
            </w:r>
          </w:p>
        </w:tc>
        <w:tc>
          <w:tcPr>
            <w:tcW w:type="dxa" w:w="3888"/>
            <w:vAlign w:val="top"/>
          </w:tcPr>
          <w:p>
            <w:r/>
            <w:r>
              <w:rPr>
                <w:b w:val="0"/>
                <w:sz w:val="14"/>
              </w:rPr>
              <w:t>Inspector approval of V0.2 assembly architecture.</w:t>
            </w:r>
          </w:p>
        </w:tc>
      </w:tr>
      <w:tr>
        <w:trPr>
          <w:cantSplit/>
        </w:trPr>
        <w:tc>
          <w:tcPr>
            <w:tcW w:type="dxa" w:w="1872"/>
            <w:vAlign w:val="top"/>
          </w:tcPr>
          <w:p>
            <w:r/>
            <w:r>
              <w:rPr>
                <w:b w:val="0"/>
                <w:sz w:val="14"/>
              </w:rPr>
              <w:t>Phase 7 content set</w:t>
            </w:r>
          </w:p>
        </w:tc>
        <w:tc>
          <w:tcPr>
            <w:tcW w:type="dxa" w:w="4896"/>
            <w:vAlign w:val="top"/>
          </w:tcPr>
          <w:p>
            <w:r/>
            <w:r>
              <w:rPr>
                <w:b w:val="0"/>
                <w:sz w:val="14"/>
              </w:rPr>
              <w:t>PHASE7_FRONT_END_REFINEMENT_DRAFT_V0.1.md; Part IV-VIII drafts; Part IX; Part X; Part XI V0.3; Part XII</w:t>
            </w:r>
          </w:p>
        </w:tc>
        <w:tc>
          <w:tcPr>
            <w:tcW w:type="dxa" w:w="3888"/>
            <w:vAlign w:val="top"/>
          </w:tcPr>
          <w:p>
            <w:r/>
            <w:r>
              <w:rPr>
                <w:b w:val="0"/>
                <w:sz w:val="14"/>
              </w:rPr>
              <w:t>Report-ready narrative/action content compiled into this V0.3.</w:t>
            </w:r>
          </w:p>
        </w:tc>
      </w:tr>
      <w:tr>
        <w:trPr>
          <w:cantSplit/>
        </w:trPr>
        <w:tc>
          <w:tcPr>
            <w:tcW w:type="dxa" w:w="1872"/>
            <w:vAlign w:val="top"/>
          </w:tcPr>
          <w:p>
            <w:r/>
            <w:r>
              <w:rPr>
                <w:b w:val="0"/>
                <w:sz w:val="14"/>
              </w:rPr>
              <w:t>Verification register</w:t>
            </w:r>
          </w:p>
        </w:tc>
        <w:tc>
          <w:tcPr>
            <w:tcW w:type="dxa" w:w="4896"/>
            <w:vAlign w:val="top"/>
          </w:tcPr>
          <w:p>
            <w:r/>
            <w:r>
              <w:rPr>
                <w:b w:val="0"/>
                <w:sz w:val="14"/>
              </w:rPr>
              <w:t>PHASE7_VERIFICATION_SUCCESS_CRITERIA_REGISTER_V0.1.md</w:t>
            </w:r>
          </w:p>
        </w:tc>
        <w:tc>
          <w:tcPr>
            <w:tcW w:type="dxa" w:w="3888"/>
            <w:vAlign w:val="top"/>
          </w:tcPr>
          <w:p>
            <w:r/>
            <w:r>
              <w:rPr>
                <w:b w:val="0"/>
                <w:sz w:val="14"/>
              </w:rPr>
              <w:t>Controlled VER-001..VER-014 measurement/inspection/design/close-out requirements.</w:t>
            </w:r>
          </w:p>
        </w:tc>
      </w:tr>
      <w:tr>
        <w:trPr>
          <w:cantSplit/>
        </w:trPr>
        <w:tc>
          <w:tcPr>
            <w:tcW w:type="dxa" w:w="1872"/>
            <w:vAlign w:val="top"/>
          </w:tcPr>
          <w:p>
            <w:r/>
            <w:r>
              <w:rPr>
                <w:b w:val="0"/>
                <w:sz w:val="14"/>
              </w:rPr>
              <w:t>Concept figure register</w:t>
            </w:r>
          </w:p>
        </w:tc>
        <w:tc>
          <w:tcPr>
            <w:tcW w:type="dxa" w:w="4896"/>
            <w:vAlign w:val="top"/>
          </w:tcPr>
          <w:p>
            <w:r/>
            <w:r>
              <w:rPr>
                <w:b w:val="0"/>
                <w:sz w:val="14"/>
              </w:rPr>
              <w:t>PHASE7_CONCEPTUAL_ENGINEERING_FIGURE_REGISTER_V0.1.md</w:t>
            </w:r>
          </w:p>
        </w:tc>
        <w:tc>
          <w:tcPr>
            <w:tcW w:type="dxa" w:w="3888"/>
            <w:vAlign w:val="top"/>
          </w:tcPr>
          <w:p>
            <w:r/>
            <w:r>
              <w:rPr>
                <w:b w:val="0"/>
                <w:sz w:val="14"/>
              </w:rPr>
              <w:t>CTD-001..CTD-004 working concepts and deferred technical review status.</w:t>
            </w:r>
          </w:p>
        </w:tc>
      </w:tr>
      <w:tr>
        <w:trPr>
          <w:cantSplit/>
        </w:trPr>
        <w:tc>
          <w:tcPr>
            <w:tcW w:type="dxa" w:w="1872"/>
            <w:vAlign w:val="top"/>
          </w:tcPr>
          <w:p>
            <w:r/>
            <w:r>
              <w:rPr>
                <w:b w:val="0"/>
                <w:sz w:val="14"/>
              </w:rPr>
              <w:t>Phase 7 consistency / closure</w:t>
            </w:r>
          </w:p>
        </w:tc>
        <w:tc>
          <w:tcPr>
            <w:tcW w:type="dxa" w:w="4896"/>
            <w:vAlign w:val="top"/>
          </w:tcPr>
          <w:p>
            <w:r/>
            <w:r>
              <w:rPr>
                <w:b w:val="0"/>
                <w:sz w:val="14"/>
              </w:rPr>
              <w:t>PHASE7_PASS7F_TECHNICAL_CONSISTENCY_REVIEW_V0.1.md; PHASE7_REFINEMENT_CLOSURE.md</w:t>
            </w:r>
          </w:p>
        </w:tc>
        <w:tc>
          <w:tcPr>
            <w:tcW w:type="dxa" w:w="3888"/>
            <w:vAlign w:val="top"/>
          </w:tcPr>
          <w:p>
            <w:r/>
            <w:r>
              <w:rPr>
                <w:b w:val="0"/>
                <w:sz w:val="14"/>
              </w:rPr>
              <w:t>Final evidence-to-action consistency PASS and Phase 7 content closure.</w:t>
            </w:r>
          </w:p>
        </w:tc>
      </w:tr>
      <w:tr>
        <w:trPr>
          <w:cantSplit/>
        </w:trPr>
        <w:tc>
          <w:tcPr>
            <w:tcW w:type="dxa" w:w="1872"/>
            <w:vAlign w:val="top"/>
          </w:tcPr>
          <w:p>
            <w:r/>
            <w:r>
              <w:rPr>
                <w:b w:val="0"/>
                <w:sz w:val="14"/>
              </w:rPr>
              <w:t>Report lineage</w:t>
            </w:r>
          </w:p>
        </w:tc>
        <w:tc>
          <w:tcPr>
            <w:tcW w:type="dxa" w:w="4896"/>
            <w:vAlign w:val="top"/>
          </w:tcPr>
          <w:p>
            <w:r/>
            <w:r>
              <w:rPr>
                <w:b w:val="0"/>
                <w:sz w:val="14"/>
              </w:rPr>
              <w:t>V0.1 working base; V0.2 Assembly Draft; this V0.3 Compilation Draft</w:t>
            </w:r>
          </w:p>
        </w:tc>
        <w:tc>
          <w:tcPr>
            <w:tcW w:type="dxa" w:w="3888"/>
            <w:vAlign w:val="top"/>
          </w:tcPr>
          <w:p>
            <w:r/>
            <w:r>
              <w:rPr>
                <w:b w:val="0"/>
                <w:sz w:val="14"/>
              </w:rPr>
              <w:t>Controlled report development history. V0.2 remains protected/unmodified.</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cantSplit/>
        </w:trPr>
        <w:tc>
          <w:tcPr>
            <w:tcW w:type="dxa" w:w="4876"/>
            <w:shd w:fill="E7E6E6"/>
            <w:tcMar>
              <w:top w:w="80" w:type="dxa"/>
              <w:start w:w="100" w:type="dxa"/>
              <w:bottom w:w="80" w:type="dxa"/>
              <w:end w:w="100" w:type="dxa"/>
            </w:tcMar>
            <w:vAlign w:val="center"/>
          </w:tcPr>
          <w:p>
            <w:r/>
            <w:r>
              <w:rPr>
                <w:b/>
                <w:sz w:val="20"/>
              </w:rPr>
              <w:t>V0.3 COMPILATION STATUS</w:t>
            </w:r>
          </w:p>
        </w:tc>
        <w:tc>
          <w:tcPr>
            <w:tcW w:type="dxa" w:w="4876"/>
            <w:shd w:fill="F2F2F2"/>
            <w:tcMar>
              <w:top w:w="80" w:type="dxa"/>
              <w:start w:w="100" w:type="dxa"/>
              <w:bottom w:w="80" w:type="dxa"/>
              <w:end w:w="100" w:type="dxa"/>
            </w:tcMar>
            <w:vAlign w:val="center"/>
          </w:tcPr>
          <w:p>
            <w:r/>
            <w:r>
              <w:rPr>
                <w:b w:val="0"/>
                <w:sz w:val="17"/>
              </w:rPr>
              <w:t>Phase 7 technical/content development is complete and the evidence-to-action consistency review passed. This V0.3 compilation integrates the refined narrative, mature action programme, verification framework, appendices and current conceptual figures into the accepted V0.2 architecture. Engineer review of the concepts, outstanding verification/measurements, Phase 8 publication styling and formal issue authorization remain open.</w:t>
            </w:r>
          </w:p>
        </w:tc>
      </w:tr>
    </w:tbl>
    <w:sectPr w:rsidR="00FC693F" w:rsidRPr="0006063C" w:rsidSect="00034616">
      <w:headerReference w:type="default" r:id="rId9"/>
      <w:footerReference w:type="default" r:id="rId10"/>
      <w:pgSz w:w="11906" w:h="16838"/>
      <w:pgMar w:top="964" w:right="1020" w:bottom="907"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S32WPPSR-01 · REV 0.3 COMPILATION DRAFT · NOT FOR ISSUE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17365D"/>
      </w:pBdr>
    </w:pPr>
    <w:r/>
    <w:r>
      <w:rPr>
        <w:rFonts w:ascii="Arial" w:hAnsi="Arial"/>
        <w:b/>
        <w:color w:val="7F7F7F"/>
        <w:sz w:val="14"/>
      </w:rPr>
      <w:t>SOUTH32 WESSELS MINE — COMBINED PRODUCT SPILLAGE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Arial" w:hAnsi="Arial"/>
      <w:b/>
      <w:bCs/>
      <w:i/>
      <w:iCs/>
      <w:color w:val="40404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0404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South32 Wessels Mine — Combined-Product Spillage Inspection and Engineering Assessment Report</dc:title>
  <dc:subject>S32WPPSR-01 Revision 0.3 Compilation Draft</dc:subject>
  <dc:creator>python-docx</dc:creator>
  <cp:keywords>South32, Wessels Mine, conveyor, spillage, carryback, belt cleaner, inspection</cp:keywords>
  <dc:description>V0.3 compilation from inspector-approved V0.2 baseline and completed Phase 7 technical/content development. Not for issue.</dc:description>
  <cp:lastModifiedBy/>
  <cp:revision>1</cp:revision>
  <dcterms:created xsi:type="dcterms:W3CDTF">2013-12-23T23:15:00Z</dcterms:created>
  <dcterms:modified xsi:type="dcterms:W3CDTF">2013-12-23T23:15:00Z</dcterms:modified>
  <cp:category/>
</cp:coreProperties>
</file>