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FDCB8" w14:textId="77777777" w:rsidR="00571DD8" w:rsidRDefault="00571DD8" w:rsidP="00571DD8">
      <w:pPr>
        <w:pStyle w:val="Heading1"/>
      </w:pPr>
      <w:r>
        <w:rPr>
          <w:rFonts w:ascii="Arial" w:hAnsi="Arial"/>
        </w:rPr>
        <w:t>Introduction</w:t>
      </w:r>
    </w:p>
    <w:p w14:paraId="31D345BA" w14:textId="77777777" w:rsidR="00571DD8" w:rsidRDefault="00571DD8" w:rsidP="00571DD8">
      <w:pPr>
        <w:pStyle w:val="BodyText"/>
        <w:spacing w:line="259" w:lineRule="auto"/>
      </w:pPr>
      <w:r>
        <w:t>Combined product is conveyed through a connected mine-to-surface handling chain that includes the underground crusher and UC conveyor route, secondary plant conveyors, silos/feeders, surface screening conveyors, screens/chutes, loading-station conveyors and narrow sample conveyors. Fines are present from blasting and are further generated during crushing and material handling. Water is also introduced in parts of the process, particularly screening/washing.</w:t>
      </w:r>
    </w:p>
    <w:p w14:paraId="673DA389" w14:textId="1126C3F8" w:rsidR="00571DD8" w:rsidRDefault="00571DD8" w:rsidP="00571DD8">
      <w:r>
        <w:rPr>
          <w:rFonts w:ascii="Arial" w:hAnsi="Arial"/>
        </w:rPr>
        <w:t>The inspection found that the visible location of spilled material is not always the location at which the initiating defect occurs. For example, residual material passing the head discharge can remain on the return belt, be detached later by return rollers and appear as deposits some distance downstream. The report therefore evaluates the relationship between observed spillage, immediate mechanism, contributing condition, probable root cause, consequence and proposed action</w:t>
      </w:r>
    </w:p>
    <w:p w14:paraId="1CC777E9" w14:textId="77777777" w:rsidR="00571DD8" w:rsidRDefault="00571DD8"/>
    <w:p w14:paraId="2751FF59" w14:textId="42B7B5D5" w:rsidR="00023157" w:rsidRDefault="00023157">
      <w:r>
        <w:t xml:space="preserve">Purpose </w:t>
      </w:r>
    </w:p>
    <w:p w14:paraId="0842BB72" w14:textId="77777777" w:rsidR="00023157" w:rsidRDefault="00023157"/>
    <w:p w14:paraId="22A55EC7" w14:textId="77777777" w:rsidR="00023157" w:rsidRDefault="00023157" w:rsidP="00023157">
      <w:r>
        <w:rPr>
          <w:rFonts w:ascii="Arial" w:hAnsi="Arial"/>
        </w:rPr>
        <w:t>This report documents a qualitative engineering inspection and mechanism-focused assessment of combined-product spillage across selected surface and underground product-handling areas at South32 Wessels Mine. The report is intended to identify where spillage occurs, distinguish the principal physical mechanisms, separate confirmed observations from engineering interpretation, and define practical maintenance, operational and engineering actions for further verification and remedial development</w:t>
      </w:r>
    </w:p>
    <w:p w14:paraId="28355FB5" w14:textId="77777777" w:rsidR="00023157" w:rsidRDefault="00023157"/>
    <w:p w14:paraId="55BDFFF9" w14:textId="2CAE58FC" w:rsidR="00023157" w:rsidRDefault="00023157">
      <w:r>
        <w:t xml:space="preserve">Note : I want to introduce this into the report, preferably near the beginning of the report as there is some terminology that is used in the report that is localized to the report and these terms are not always contextual clear to the user. Suggested location under the </w:t>
      </w:r>
      <w:r w:rsidRPr="00023157">
        <w:t>Controlled Distribution</w:t>
      </w:r>
      <w:r>
        <w:t xml:space="preserve"> section before the table of contents?</w:t>
      </w:r>
    </w:p>
    <w:p w14:paraId="1ABEBC19" w14:textId="77777777" w:rsidR="00023157" w:rsidRDefault="00023157" w:rsidP="00023157">
      <w:pPr>
        <w:pStyle w:val="Caption"/>
        <w:spacing w:before="80" w:after="60"/>
      </w:pPr>
      <w:r>
        <w:t>Definitions and abbreviations</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948"/>
        <w:gridCol w:w="6406"/>
      </w:tblGrid>
      <w:tr w:rsidR="00023157" w14:paraId="570A74D3" w14:textId="77777777" w:rsidTr="00985E24">
        <w:trPr>
          <w:cantSplit/>
          <w:tblHeader/>
          <w:jc w:val="center"/>
        </w:trPr>
        <w:tc>
          <w:tcPr>
            <w:tcW w:w="2948" w:type="dxa"/>
            <w:shd w:val="clear" w:color="auto" w:fill="17365D"/>
            <w:tcMar>
              <w:top w:w="80" w:type="dxa"/>
              <w:left w:w="90" w:type="dxa"/>
              <w:bottom w:w="80" w:type="dxa"/>
              <w:right w:w="90" w:type="dxa"/>
            </w:tcMar>
            <w:vAlign w:val="center"/>
          </w:tcPr>
          <w:p w14:paraId="2242C395" w14:textId="77777777" w:rsidR="00023157" w:rsidRDefault="00023157" w:rsidP="00985E24">
            <w:pPr>
              <w:spacing w:after="0"/>
              <w:jc w:val="center"/>
            </w:pPr>
            <w:r>
              <w:rPr>
                <w:rFonts w:ascii="Arial" w:hAnsi="Arial"/>
                <w:b/>
                <w:color w:val="FFFFFF"/>
                <w:sz w:val="16"/>
              </w:rPr>
              <w:t>Term</w:t>
            </w:r>
          </w:p>
        </w:tc>
        <w:tc>
          <w:tcPr>
            <w:tcW w:w="6406" w:type="dxa"/>
            <w:shd w:val="clear" w:color="auto" w:fill="17365D"/>
            <w:tcMar>
              <w:top w:w="80" w:type="dxa"/>
              <w:left w:w="90" w:type="dxa"/>
              <w:bottom w:w="80" w:type="dxa"/>
              <w:right w:w="90" w:type="dxa"/>
            </w:tcMar>
            <w:vAlign w:val="center"/>
          </w:tcPr>
          <w:p w14:paraId="7655DCF4" w14:textId="77777777" w:rsidR="00023157" w:rsidRDefault="00023157" w:rsidP="00985E24">
            <w:pPr>
              <w:spacing w:after="0"/>
              <w:jc w:val="center"/>
            </w:pPr>
            <w:r>
              <w:rPr>
                <w:rFonts w:ascii="Arial" w:hAnsi="Arial"/>
                <w:b/>
                <w:color w:val="FFFFFF"/>
                <w:sz w:val="16"/>
              </w:rPr>
              <w:t>Definition</w:t>
            </w:r>
          </w:p>
        </w:tc>
      </w:tr>
      <w:tr w:rsidR="00023157" w14:paraId="600CE61F" w14:textId="77777777" w:rsidTr="00985E24">
        <w:trPr>
          <w:cantSplit/>
          <w:jc w:val="center"/>
        </w:trPr>
        <w:tc>
          <w:tcPr>
            <w:tcW w:w="2948" w:type="dxa"/>
            <w:tcMar>
              <w:top w:w="80" w:type="dxa"/>
              <w:left w:w="90" w:type="dxa"/>
              <w:bottom w:w="80" w:type="dxa"/>
              <w:right w:w="90" w:type="dxa"/>
            </w:tcMar>
            <w:vAlign w:val="center"/>
          </w:tcPr>
          <w:p w14:paraId="4730A9FA" w14:textId="77777777" w:rsidR="00023157" w:rsidRDefault="00023157" w:rsidP="00985E24">
            <w:pPr>
              <w:spacing w:after="0"/>
            </w:pPr>
            <w:r>
              <w:rPr>
                <w:rFonts w:ascii="Arial" w:hAnsi="Arial"/>
                <w:color w:val="000000"/>
                <w:sz w:val="15"/>
              </w:rPr>
              <w:t>Combined Product</w:t>
            </w:r>
          </w:p>
        </w:tc>
        <w:tc>
          <w:tcPr>
            <w:tcW w:w="6406" w:type="dxa"/>
            <w:tcMar>
              <w:top w:w="80" w:type="dxa"/>
              <w:left w:w="90" w:type="dxa"/>
              <w:bottom w:w="80" w:type="dxa"/>
              <w:right w:w="90" w:type="dxa"/>
            </w:tcMar>
            <w:vAlign w:val="center"/>
          </w:tcPr>
          <w:p w14:paraId="30F5C82B" w14:textId="77777777" w:rsidR="00023157" w:rsidRDefault="00023157" w:rsidP="00985E24">
            <w:pPr>
              <w:spacing w:after="0"/>
            </w:pPr>
            <w:r>
              <w:rPr>
                <w:rFonts w:ascii="Arial" w:hAnsi="Arial"/>
                <w:color w:val="000000"/>
                <w:sz w:val="15"/>
              </w:rPr>
              <w:t>A mixture of lump ore and fines conveyed together as a single material stream.</w:t>
            </w:r>
          </w:p>
        </w:tc>
      </w:tr>
      <w:tr w:rsidR="00023157" w14:paraId="3BD468D0" w14:textId="77777777" w:rsidTr="00985E24">
        <w:trPr>
          <w:cantSplit/>
          <w:jc w:val="center"/>
        </w:trPr>
        <w:tc>
          <w:tcPr>
            <w:tcW w:w="2948" w:type="dxa"/>
            <w:shd w:val="clear" w:color="auto" w:fill="F7F7F7"/>
            <w:tcMar>
              <w:top w:w="80" w:type="dxa"/>
              <w:left w:w="90" w:type="dxa"/>
              <w:bottom w:w="80" w:type="dxa"/>
              <w:right w:w="90" w:type="dxa"/>
            </w:tcMar>
            <w:vAlign w:val="center"/>
          </w:tcPr>
          <w:p w14:paraId="69E51E8F" w14:textId="77777777" w:rsidR="00023157" w:rsidRDefault="00023157" w:rsidP="00985E24">
            <w:pPr>
              <w:spacing w:after="0"/>
            </w:pPr>
            <w:r>
              <w:rPr>
                <w:rFonts w:ascii="Arial" w:hAnsi="Arial"/>
                <w:color w:val="000000"/>
                <w:sz w:val="15"/>
              </w:rPr>
              <w:t>Fines</w:t>
            </w:r>
          </w:p>
        </w:tc>
        <w:tc>
          <w:tcPr>
            <w:tcW w:w="6406" w:type="dxa"/>
            <w:shd w:val="clear" w:color="auto" w:fill="F7F7F7"/>
            <w:tcMar>
              <w:top w:w="80" w:type="dxa"/>
              <w:left w:w="90" w:type="dxa"/>
              <w:bottom w:w="80" w:type="dxa"/>
              <w:right w:w="90" w:type="dxa"/>
            </w:tcMar>
            <w:vAlign w:val="center"/>
          </w:tcPr>
          <w:p w14:paraId="15D231FD" w14:textId="77777777" w:rsidR="00023157" w:rsidRDefault="00023157" w:rsidP="00985E24">
            <w:pPr>
              <w:spacing w:after="0"/>
            </w:pPr>
            <w:r>
              <w:rPr>
                <w:rFonts w:ascii="Arial" w:hAnsi="Arial"/>
                <w:color w:val="000000"/>
                <w:sz w:val="15"/>
              </w:rPr>
              <w:t>Small or finely divided ore particles forming the finer fraction of the conveyed material, including very fine particulate material or ore dust.</w:t>
            </w:r>
          </w:p>
        </w:tc>
      </w:tr>
      <w:tr w:rsidR="00023157" w14:paraId="02C71348" w14:textId="77777777" w:rsidTr="00985E24">
        <w:trPr>
          <w:cantSplit/>
          <w:jc w:val="center"/>
        </w:trPr>
        <w:tc>
          <w:tcPr>
            <w:tcW w:w="2948" w:type="dxa"/>
            <w:tcMar>
              <w:top w:w="80" w:type="dxa"/>
              <w:left w:w="90" w:type="dxa"/>
              <w:bottom w:w="80" w:type="dxa"/>
              <w:right w:w="90" w:type="dxa"/>
            </w:tcMar>
            <w:vAlign w:val="center"/>
          </w:tcPr>
          <w:p w14:paraId="5EC5CC5A" w14:textId="77777777" w:rsidR="00023157" w:rsidRDefault="00023157" w:rsidP="00985E24">
            <w:pPr>
              <w:spacing w:after="0"/>
            </w:pPr>
            <w:r>
              <w:rPr>
                <w:rFonts w:ascii="Arial" w:hAnsi="Arial"/>
                <w:color w:val="000000"/>
                <w:sz w:val="15"/>
              </w:rPr>
              <w:t>Belt Tracking</w:t>
            </w:r>
          </w:p>
        </w:tc>
        <w:tc>
          <w:tcPr>
            <w:tcW w:w="6406" w:type="dxa"/>
            <w:tcMar>
              <w:top w:w="80" w:type="dxa"/>
              <w:left w:w="90" w:type="dxa"/>
              <w:bottom w:w="80" w:type="dxa"/>
              <w:right w:w="90" w:type="dxa"/>
            </w:tcMar>
            <w:vAlign w:val="center"/>
          </w:tcPr>
          <w:p w14:paraId="653D7BE6" w14:textId="77777777" w:rsidR="00023157" w:rsidRDefault="00023157" w:rsidP="00985E24">
            <w:pPr>
              <w:spacing w:after="0"/>
            </w:pPr>
            <w:r>
              <w:rPr>
                <w:rFonts w:ascii="Arial" w:hAnsi="Arial"/>
                <w:color w:val="000000"/>
                <w:sz w:val="15"/>
              </w:rPr>
              <w:t>The lateral alignment of the conveyor belt along its intended travel path. Correct tracking occurs when the belt remains centred across the conveyor structure and does not exhibit excessive lateral drift.</w:t>
            </w:r>
          </w:p>
        </w:tc>
      </w:tr>
      <w:tr w:rsidR="00023157" w14:paraId="2ABD2FAD" w14:textId="77777777" w:rsidTr="00985E24">
        <w:trPr>
          <w:cantSplit/>
          <w:jc w:val="center"/>
        </w:trPr>
        <w:tc>
          <w:tcPr>
            <w:tcW w:w="2948" w:type="dxa"/>
            <w:shd w:val="clear" w:color="auto" w:fill="F7F7F7"/>
            <w:tcMar>
              <w:top w:w="80" w:type="dxa"/>
              <w:left w:w="90" w:type="dxa"/>
              <w:bottom w:w="80" w:type="dxa"/>
              <w:right w:w="90" w:type="dxa"/>
            </w:tcMar>
            <w:vAlign w:val="center"/>
          </w:tcPr>
          <w:p w14:paraId="2A3B53C6" w14:textId="77777777" w:rsidR="00023157" w:rsidRDefault="00023157" w:rsidP="00985E24">
            <w:pPr>
              <w:spacing w:after="0"/>
            </w:pPr>
            <w:r>
              <w:rPr>
                <w:rFonts w:ascii="Arial" w:hAnsi="Arial"/>
                <w:color w:val="000000"/>
                <w:sz w:val="15"/>
              </w:rPr>
              <w:t>Belt Mistracking</w:t>
            </w:r>
          </w:p>
        </w:tc>
        <w:tc>
          <w:tcPr>
            <w:tcW w:w="6406" w:type="dxa"/>
            <w:shd w:val="clear" w:color="auto" w:fill="F7F7F7"/>
            <w:tcMar>
              <w:top w:w="80" w:type="dxa"/>
              <w:left w:w="90" w:type="dxa"/>
              <w:bottom w:w="80" w:type="dxa"/>
              <w:right w:w="90" w:type="dxa"/>
            </w:tcMar>
            <w:vAlign w:val="center"/>
          </w:tcPr>
          <w:p w14:paraId="4109A9A0" w14:textId="77777777" w:rsidR="00023157" w:rsidRDefault="00023157" w:rsidP="00985E24">
            <w:pPr>
              <w:spacing w:after="0"/>
            </w:pPr>
            <w:r>
              <w:rPr>
                <w:rFonts w:ascii="Arial" w:hAnsi="Arial"/>
                <w:color w:val="000000"/>
                <w:sz w:val="15"/>
              </w:rPr>
              <w:t>Lateral belt displacement away from the intended centred travel path.</w:t>
            </w:r>
          </w:p>
        </w:tc>
      </w:tr>
      <w:tr w:rsidR="00023157" w14:paraId="6EFE7747" w14:textId="77777777" w:rsidTr="00985E24">
        <w:trPr>
          <w:cantSplit/>
          <w:jc w:val="center"/>
        </w:trPr>
        <w:tc>
          <w:tcPr>
            <w:tcW w:w="2948" w:type="dxa"/>
            <w:tcMar>
              <w:top w:w="80" w:type="dxa"/>
              <w:left w:w="90" w:type="dxa"/>
              <w:bottom w:w="80" w:type="dxa"/>
              <w:right w:w="90" w:type="dxa"/>
            </w:tcMar>
            <w:vAlign w:val="center"/>
          </w:tcPr>
          <w:p w14:paraId="36DABD71" w14:textId="77777777" w:rsidR="00023157" w:rsidRDefault="00023157" w:rsidP="00985E24">
            <w:pPr>
              <w:spacing w:after="0"/>
            </w:pPr>
            <w:r>
              <w:rPr>
                <w:rFonts w:ascii="Arial" w:hAnsi="Arial"/>
                <w:color w:val="000000"/>
                <w:sz w:val="15"/>
              </w:rPr>
              <w:t>Belt Carryback</w:t>
            </w:r>
          </w:p>
        </w:tc>
        <w:tc>
          <w:tcPr>
            <w:tcW w:w="6406" w:type="dxa"/>
            <w:tcMar>
              <w:top w:w="80" w:type="dxa"/>
              <w:left w:w="90" w:type="dxa"/>
              <w:bottom w:w="80" w:type="dxa"/>
              <w:right w:w="90" w:type="dxa"/>
            </w:tcMar>
            <w:vAlign w:val="center"/>
          </w:tcPr>
          <w:p w14:paraId="00A2575F" w14:textId="77777777" w:rsidR="00023157" w:rsidRDefault="00023157" w:rsidP="00985E24">
            <w:pPr>
              <w:spacing w:after="0"/>
            </w:pPr>
            <w:r>
              <w:rPr>
                <w:rFonts w:ascii="Arial" w:hAnsi="Arial"/>
                <w:color w:val="000000"/>
                <w:sz w:val="15"/>
              </w:rPr>
              <w:t>Residual fines/product adhering to the belt after discharge and returning on the belt rather than being fully removed at the head/discharge point.</w:t>
            </w:r>
          </w:p>
        </w:tc>
      </w:tr>
      <w:tr w:rsidR="00023157" w14:paraId="6699C12B" w14:textId="77777777" w:rsidTr="00985E24">
        <w:trPr>
          <w:cantSplit/>
          <w:jc w:val="center"/>
        </w:trPr>
        <w:tc>
          <w:tcPr>
            <w:tcW w:w="2948" w:type="dxa"/>
            <w:shd w:val="clear" w:color="auto" w:fill="F7F7F7"/>
            <w:tcMar>
              <w:top w:w="80" w:type="dxa"/>
              <w:left w:w="90" w:type="dxa"/>
              <w:bottom w:w="80" w:type="dxa"/>
              <w:right w:w="90" w:type="dxa"/>
            </w:tcMar>
            <w:vAlign w:val="center"/>
          </w:tcPr>
          <w:p w14:paraId="3332DF99" w14:textId="77777777" w:rsidR="00023157" w:rsidRDefault="00023157" w:rsidP="00985E24">
            <w:pPr>
              <w:spacing w:after="0"/>
            </w:pPr>
            <w:r>
              <w:rPr>
                <w:rFonts w:ascii="Arial" w:hAnsi="Arial"/>
                <w:color w:val="000000"/>
                <w:sz w:val="15"/>
              </w:rPr>
              <w:t>Belt Scraper / Cleaner</w:t>
            </w:r>
          </w:p>
        </w:tc>
        <w:tc>
          <w:tcPr>
            <w:tcW w:w="6406" w:type="dxa"/>
            <w:shd w:val="clear" w:color="auto" w:fill="F7F7F7"/>
            <w:tcMar>
              <w:top w:w="80" w:type="dxa"/>
              <w:left w:w="90" w:type="dxa"/>
              <w:bottom w:w="80" w:type="dxa"/>
              <w:right w:w="90" w:type="dxa"/>
            </w:tcMar>
            <w:vAlign w:val="center"/>
          </w:tcPr>
          <w:p w14:paraId="41B8B8E3" w14:textId="77777777" w:rsidR="00023157" w:rsidRDefault="00023157" w:rsidP="00985E24">
            <w:pPr>
              <w:spacing w:after="0"/>
            </w:pPr>
            <w:r>
              <w:rPr>
                <w:rFonts w:ascii="Arial" w:hAnsi="Arial"/>
                <w:color w:val="000000"/>
                <w:sz w:val="15"/>
              </w:rPr>
              <w:t>A device installed at or near the discharge to remove material adhering to the belt and, ideally, direct that material into the intended process/discharge path.</w:t>
            </w:r>
          </w:p>
        </w:tc>
      </w:tr>
      <w:tr w:rsidR="00023157" w14:paraId="361E2887" w14:textId="77777777" w:rsidTr="00985E24">
        <w:trPr>
          <w:cantSplit/>
          <w:jc w:val="center"/>
        </w:trPr>
        <w:tc>
          <w:tcPr>
            <w:tcW w:w="2948" w:type="dxa"/>
            <w:tcMar>
              <w:top w:w="80" w:type="dxa"/>
              <w:left w:w="90" w:type="dxa"/>
              <w:bottom w:w="80" w:type="dxa"/>
              <w:right w:w="90" w:type="dxa"/>
            </w:tcMar>
            <w:vAlign w:val="center"/>
          </w:tcPr>
          <w:p w14:paraId="33946D42" w14:textId="77777777" w:rsidR="00023157" w:rsidRDefault="00023157" w:rsidP="00985E24">
            <w:pPr>
              <w:spacing w:after="0"/>
            </w:pPr>
            <w:r>
              <w:rPr>
                <w:rFonts w:ascii="Arial" w:hAnsi="Arial"/>
                <w:color w:val="000000"/>
                <w:sz w:val="15"/>
              </w:rPr>
              <w:t>Wet Fines / Slurry</w:t>
            </w:r>
          </w:p>
        </w:tc>
        <w:tc>
          <w:tcPr>
            <w:tcW w:w="6406" w:type="dxa"/>
            <w:tcMar>
              <w:top w:w="80" w:type="dxa"/>
              <w:left w:w="90" w:type="dxa"/>
              <w:bottom w:w="80" w:type="dxa"/>
              <w:right w:w="90" w:type="dxa"/>
            </w:tcMar>
            <w:vAlign w:val="center"/>
          </w:tcPr>
          <w:p w14:paraId="60304043" w14:textId="77777777" w:rsidR="00023157" w:rsidRDefault="00023157" w:rsidP="00985E24">
            <w:pPr>
              <w:spacing w:after="0"/>
            </w:pPr>
            <w:r>
              <w:rPr>
                <w:rFonts w:ascii="Arial" w:hAnsi="Arial"/>
                <w:color w:val="000000"/>
                <w:sz w:val="15"/>
              </w:rPr>
              <w:t>Moisture-laden fines or slurry-like material produced where fines combine with process or cleaning water.</w:t>
            </w:r>
          </w:p>
        </w:tc>
      </w:tr>
      <w:tr w:rsidR="00023157" w14:paraId="2A3C0C43" w14:textId="77777777" w:rsidTr="00985E24">
        <w:trPr>
          <w:cantSplit/>
          <w:jc w:val="center"/>
        </w:trPr>
        <w:tc>
          <w:tcPr>
            <w:tcW w:w="2948" w:type="dxa"/>
            <w:shd w:val="clear" w:color="auto" w:fill="F7F7F7"/>
            <w:tcMar>
              <w:top w:w="80" w:type="dxa"/>
              <w:left w:w="90" w:type="dxa"/>
              <w:bottom w:w="80" w:type="dxa"/>
              <w:right w:w="90" w:type="dxa"/>
            </w:tcMar>
            <w:vAlign w:val="center"/>
          </w:tcPr>
          <w:p w14:paraId="3E0582E2" w14:textId="77777777" w:rsidR="00023157" w:rsidRDefault="00023157" w:rsidP="00985E24">
            <w:pPr>
              <w:spacing w:after="0"/>
            </w:pPr>
            <w:r>
              <w:rPr>
                <w:rFonts w:ascii="Arial" w:hAnsi="Arial"/>
                <w:color w:val="000000"/>
                <w:sz w:val="15"/>
              </w:rPr>
              <w:lastRenderedPageBreak/>
              <w:t>Conveyor Side Skirt / Side-Containment Skirting System</w:t>
            </w:r>
          </w:p>
        </w:tc>
        <w:tc>
          <w:tcPr>
            <w:tcW w:w="6406" w:type="dxa"/>
            <w:shd w:val="clear" w:color="auto" w:fill="F7F7F7"/>
            <w:tcMar>
              <w:top w:w="80" w:type="dxa"/>
              <w:left w:w="90" w:type="dxa"/>
              <w:bottom w:w="80" w:type="dxa"/>
              <w:right w:w="90" w:type="dxa"/>
            </w:tcMar>
            <w:vAlign w:val="center"/>
          </w:tcPr>
          <w:p w14:paraId="747AE8A6" w14:textId="77777777" w:rsidR="00023157" w:rsidRDefault="00023157" w:rsidP="00985E24">
            <w:pPr>
              <w:spacing w:after="0"/>
            </w:pPr>
            <w:r>
              <w:rPr>
                <w:rFonts w:ascii="Arial" w:hAnsi="Arial"/>
                <w:color w:val="000000"/>
                <w:sz w:val="15"/>
              </w:rPr>
              <w:t>A material-containment arrangement along the conveyor side. Current working concept for the sample conveyors is a fixed side support with flexible rubber skirting close to, but normally not contacting, the belt.</w:t>
            </w:r>
          </w:p>
        </w:tc>
      </w:tr>
      <w:tr w:rsidR="00023157" w14:paraId="25504D7B" w14:textId="77777777" w:rsidTr="00985E24">
        <w:trPr>
          <w:cantSplit/>
          <w:jc w:val="center"/>
        </w:trPr>
        <w:tc>
          <w:tcPr>
            <w:tcW w:w="2948" w:type="dxa"/>
            <w:tcMar>
              <w:top w:w="80" w:type="dxa"/>
              <w:left w:w="90" w:type="dxa"/>
              <w:bottom w:w="80" w:type="dxa"/>
              <w:right w:w="90" w:type="dxa"/>
            </w:tcMar>
            <w:vAlign w:val="center"/>
          </w:tcPr>
          <w:p w14:paraId="5CAF25CD" w14:textId="77777777" w:rsidR="00023157" w:rsidRDefault="00023157" w:rsidP="00985E24">
            <w:pPr>
              <w:spacing w:after="0"/>
            </w:pPr>
            <w:r>
              <w:rPr>
                <w:rFonts w:ascii="Arial" w:hAnsi="Arial"/>
                <w:color w:val="000000"/>
                <w:sz w:val="15"/>
              </w:rPr>
              <w:t>Direct visual evidence</w:t>
            </w:r>
          </w:p>
        </w:tc>
        <w:tc>
          <w:tcPr>
            <w:tcW w:w="6406" w:type="dxa"/>
            <w:tcMar>
              <w:top w:w="80" w:type="dxa"/>
              <w:left w:w="90" w:type="dxa"/>
              <w:bottom w:w="80" w:type="dxa"/>
              <w:right w:w="90" w:type="dxa"/>
            </w:tcMar>
            <w:vAlign w:val="center"/>
          </w:tcPr>
          <w:p w14:paraId="464A23E8" w14:textId="77777777" w:rsidR="00023157" w:rsidRDefault="00023157" w:rsidP="00985E24">
            <w:pPr>
              <w:spacing w:after="0"/>
            </w:pPr>
            <w:r>
              <w:rPr>
                <w:rFonts w:ascii="Arial" w:hAnsi="Arial"/>
                <w:color w:val="000000"/>
                <w:sz w:val="15"/>
              </w:rPr>
              <w:t>A photograph/video that independently demonstrates the stated physical condition.</w:t>
            </w:r>
          </w:p>
        </w:tc>
      </w:tr>
      <w:tr w:rsidR="00023157" w14:paraId="1F642887" w14:textId="77777777" w:rsidTr="00985E24">
        <w:trPr>
          <w:cantSplit/>
          <w:jc w:val="center"/>
        </w:trPr>
        <w:tc>
          <w:tcPr>
            <w:tcW w:w="2948" w:type="dxa"/>
            <w:shd w:val="clear" w:color="auto" w:fill="F7F7F7"/>
            <w:tcMar>
              <w:top w:w="80" w:type="dxa"/>
              <w:left w:w="90" w:type="dxa"/>
              <w:bottom w:w="80" w:type="dxa"/>
              <w:right w:w="90" w:type="dxa"/>
            </w:tcMar>
            <w:vAlign w:val="center"/>
          </w:tcPr>
          <w:p w14:paraId="14B92521" w14:textId="77777777" w:rsidR="00023157" w:rsidRDefault="00023157" w:rsidP="00985E24">
            <w:pPr>
              <w:spacing w:after="0"/>
            </w:pPr>
            <w:r>
              <w:rPr>
                <w:rFonts w:ascii="Arial" w:hAnsi="Arial"/>
                <w:color w:val="000000"/>
                <w:sz w:val="15"/>
              </w:rPr>
              <w:t>Supporting evidence</w:t>
            </w:r>
          </w:p>
        </w:tc>
        <w:tc>
          <w:tcPr>
            <w:tcW w:w="6406" w:type="dxa"/>
            <w:shd w:val="clear" w:color="auto" w:fill="F7F7F7"/>
            <w:tcMar>
              <w:top w:w="80" w:type="dxa"/>
              <w:left w:w="90" w:type="dxa"/>
              <w:bottom w:w="80" w:type="dxa"/>
              <w:right w:w="90" w:type="dxa"/>
            </w:tcMar>
            <w:vAlign w:val="center"/>
          </w:tcPr>
          <w:p w14:paraId="1DD2145E" w14:textId="77777777" w:rsidR="00023157" w:rsidRDefault="00023157" w:rsidP="00985E24">
            <w:pPr>
              <w:spacing w:after="0"/>
            </w:pPr>
            <w:r>
              <w:rPr>
                <w:rFonts w:ascii="Arial" w:hAnsi="Arial"/>
                <w:color w:val="000000"/>
                <w:sz w:val="15"/>
              </w:rPr>
              <w:t>Evidence that supports context/extent but does not independently prove the complete causal statement.</w:t>
            </w:r>
          </w:p>
        </w:tc>
      </w:tr>
    </w:tbl>
    <w:p w14:paraId="60864981" w14:textId="77777777" w:rsidR="00023157" w:rsidRDefault="00023157"/>
    <w:p w14:paraId="7FB73806" w14:textId="77777777" w:rsidR="00023157" w:rsidRDefault="00023157"/>
    <w:p w14:paraId="701A93CE" w14:textId="0FBDCEE7" w:rsidR="009E1335" w:rsidRDefault="009E1335">
      <w:r>
        <w:t>Notes:</w:t>
      </w:r>
    </w:p>
    <w:p w14:paraId="0B536858" w14:textId="7FAB9E93" w:rsidR="00CC48B2" w:rsidRDefault="009E1335" w:rsidP="009E1335">
      <w:pPr>
        <w:pStyle w:val="ListParagraph"/>
        <w:numPr>
          <w:ilvl w:val="0"/>
          <w:numId w:val="1"/>
        </w:numPr>
      </w:pPr>
      <w:r>
        <w:t xml:space="preserve">Swap the order of the </w:t>
      </w:r>
      <w:r w:rsidR="00023157">
        <w:t>Purpose</w:t>
      </w:r>
      <w:r>
        <w:t xml:space="preserve"> and executive summary currently the execution summary is place as </w:t>
      </w:r>
    </w:p>
    <w:sectPr w:rsidR="00CC48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82B9F"/>
    <w:multiLevelType w:val="hybridMultilevel"/>
    <w:tmpl w:val="7D2A371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763866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7E7"/>
    <w:rsid w:val="00023157"/>
    <w:rsid w:val="00102867"/>
    <w:rsid w:val="002B2933"/>
    <w:rsid w:val="00313928"/>
    <w:rsid w:val="00316E3C"/>
    <w:rsid w:val="004407E7"/>
    <w:rsid w:val="004A20B5"/>
    <w:rsid w:val="00571DD8"/>
    <w:rsid w:val="00666E8C"/>
    <w:rsid w:val="00804A10"/>
    <w:rsid w:val="00806EFC"/>
    <w:rsid w:val="008709ED"/>
    <w:rsid w:val="00896023"/>
    <w:rsid w:val="009601D8"/>
    <w:rsid w:val="009E1335"/>
    <w:rsid w:val="00B57A56"/>
    <w:rsid w:val="00CC48B2"/>
    <w:rsid w:val="00CC5CC1"/>
    <w:rsid w:val="00CD4F6F"/>
    <w:rsid w:val="00CE3924"/>
    <w:rsid w:val="00D26469"/>
    <w:rsid w:val="00DF0C41"/>
    <w:rsid w:val="00F4786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825E1"/>
  <w15:chartTrackingRefBased/>
  <w15:docId w15:val="{2F6B9653-8AFE-4367-A883-0C8265EBB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7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407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07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07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7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7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7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7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7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7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407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07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07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7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7E7"/>
    <w:rPr>
      <w:rFonts w:eastAsiaTheme="majorEastAsia" w:cstheme="majorBidi"/>
      <w:color w:val="272727" w:themeColor="text1" w:themeTint="D8"/>
    </w:rPr>
  </w:style>
  <w:style w:type="paragraph" w:styleId="Title">
    <w:name w:val="Title"/>
    <w:basedOn w:val="Normal"/>
    <w:next w:val="Normal"/>
    <w:link w:val="TitleChar"/>
    <w:uiPriority w:val="10"/>
    <w:qFormat/>
    <w:rsid w:val="00440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7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7E7"/>
    <w:pPr>
      <w:spacing w:before="160"/>
      <w:jc w:val="center"/>
    </w:pPr>
    <w:rPr>
      <w:i/>
      <w:iCs/>
      <w:color w:val="404040" w:themeColor="text1" w:themeTint="BF"/>
    </w:rPr>
  </w:style>
  <w:style w:type="character" w:customStyle="1" w:styleId="QuoteChar">
    <w:name w:val="Quote Char"/>
    <w:basedOn w:val="DefaultParagraphFont"/>
    <w:link w:val="Quote"/>
    <w:uiPriority w:val="29"/>
    <w:rsid w:val="004407E7"/>
    <w:rPr>
      <w:i/>
      <w:iCs/>
      <w:color w:val="404040" w:themeColor="text1" w:themeTint="BF"/>
    </w:rPr>
  </w:style>
  <w:style w:type="paragraph" w:styleId="ListParagraph">
    <w:name w:val="List Paragraph"/>
    <w:basedOn w:val="Normal"/>
    <w:uiPriority w:val="34"/>
    <w:qFormat/>
    <w:rsid w:val="004407E7"/>
    <w:pPr>
      <w:ind w:left="720"/>
      <w:contextualSpacing/>
    </w:pPr>
  </w:style>
  <w:style w:type="character" w:styleId="IntenseEmphasis">
    <w:name w:val="Intense Emphasis"/>
    <w:basedOn w:val="DefaultParagraphFont"/>
    <w:uiPriority w:val="21"/>
    <w:qFormat/>
    <w:rsid w:val="004407E7"/>
    <w:rPr>
      <w:i/>
      <w:iCs/>
      <w:color w:val="2F5496" w:themeColor="accent1" w:themeShade="BF"/>
    </w:rPr>
  </w:style>
  <w:style w:type="paragraph" w:styleId="IntenseQuote">
    <w:name w:val="Intense Quote"/>
    <w:basedOn w:val="Normal"/>
    <w:next w:val="Normal"/>
    <w:link w:val="IntenseQuoteChar"/>
    <w:uiPriority w:val="30"/>
    <w:qFormat/>
    <w:rsid w:val="004407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7E7"/>
    <w:rPr>
      <w:i/>
      <w:iCs/>
      <w:color w:val="2F5496" w:themeColor="accent1" w:themeShade="BF"/>
    </w:rPr>
  </w:style>
  <w:style w:type="character" w:styleId="IntenseReference">
    <w:name w:val="Intense Reference"/>
    <w:basedOn w:val="DefaultParagraphFont"/>
    <w:uiPriority w:val="32"/>
    <w:qFormat/>
    <w:rsid w:val="004407E7"/>
    <w:rPr>
      <w:b/>
      <w:bCs/>
      <w:smallCaps/>
      <w:color w:val="2F5496" w:themeColor="accent1" w:themeShade="BF"/>
      <w:spacing w:val="5"/>
    </w:rPr>
  </w:style>
  <w:style w:type="paragraph" w:styleId="Caption">
    <w:name w:val="caption"/>
    <w:basedOn w:val="Normal"/>
    <w:next w:val="Normal"/>
    <w:uiPriority w:val="35"/>
    <w:semiHidden/>
    <w:unhideWhenUsed/>
    <w:qFormat/>
    <w:rsid w:val="00023157"/>
    <w:pPr>
      <w:spacing w:after="200" w:line="240" w:lineRule="auto"/>
    </w:pPr>
    <w:rPr>
      <w:rFonts w:ascii="Arial" w:eastAsiaTheme="minorEastAsia" w:hAnsi="Arial"/>
      <w:b/>
      <w:bCs/>
      <w:color w:val="404040"/>
      <w:kern w:val="0"/>
      <w:sz w:val="16"/>
      <w:szCs w:val="18"/>
      <w:lang w:val="en-US"/>
      <w14:ligatures w14:val="none"/>
    </w:rPr>
  </w:style>
  <w:style w:type="paragraph" w:styleId="BodyText">
    <w:name w:val="Body Text"/>
    <w:basedOn w:val="Normal"/>
    <w:link w:val="BodyTextChar"/>
    <w:uiPriority w:val="99"/>
    <w:unhideWhenUsed/>
    <w:rsid w:val="00571DD8"/>
    <w:pPr>
      <w:spacing w:after="120" w:line="276" w:lineRule="auto"/>
    </w:pPr>
    <w:rPr>
      <w:rFonts w:ascii="Arial" w:eastAsiaTheme="minorEastAsia" w:hAnsi="Arial"/>
      <w:color w:val="000000"/>
      <w:kern w:val="0"/>
      <w:sz w:val="19"/>
      <w:lang w:val="en-US"/>
      <w14:ligatures w14:val="none"/>
    </w:rPr>
  </w:style>
  <w:style w:type="character" w:customStyle="1" w:styleId="BodyTextChar">
    <w:name w:val="Body Text Char"/>
    <w:basedOn w:val="DefaultParagraphFont"/>
    <w:link w:val="BodyText"/>
    <w:uiPriority w:val="99"/>
    <w:rsid w:val="00571DD8"/>
    <w:rPr>
      <w:rFonts w:ascii="Arial" w:eastAsiaTheme="minorEastAsia" w:hAnsi="Arial"/>
      <w:color w:val="000000"/>
      <w:kern w:val="0"/>
      <w:sz w:val="19"/>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519</Words>
  <Characters>2961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3</cp:revision>
  <dcterms:created xsi:type="dcterms:W3CDTF">2026-08-25T17:55:00Z</dcterms:created>
  <dcterms:modified xsi:type="dcterms:W3CDTF">2026-08-25T18:54:00Z</dcterms:modified>
</cp:coreProperties>
</file>