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51AC4" w14:textId="77777777" w:rsidR="00CA27EF" w:rsidRDefault="00CA27EF" w:rsidP="00CA27EF">
      <w:pPr>
        <w:pStyle w:val="Heading1"/>
      </w:pPr>
      <w:r>
        <w:rPr>
          <w:rFonts w:ascii="Arial" w:hAnsi="Arial"/>
        </w:rPr>
        <w:t>22 Consolidated Engineering Interpretation</w:t>
      </w:r>
    </w:p>
    <w:p w14:paraId="7660D766" w14:textId="77777777" w:rsidR="00CA27EF" w:rsidRDefault="00CA27EF" w:rsidP="00CA27EF">
      <w:pPr>
        <w:pStyle w:val="BodyText"/>
        <w:spacing w:after="80" w:line="252" w:lineRule="auto"/>
      </w:pPr>
      <w:r>
        <w:t>Taken together, the evidence does not support the idea of one mine-wide spillage defect. It indicates a connected material- and process-containment problem expressed through several different mechanisms. One common objective can therefore be applied across the system while the physical correction remains specific to the mechanism, evidence strength and local geometry.</w:t>
      </w:r>
    </w:p>
    <w:tbl>
      <w:tblPr>
        <w:tblW w:w="0" w:type="auto"/>
        <w:jc w:val="center"/>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Layout w:type="fixed"/>
        <w:tblLook w:val="04A0" w:firstRow="1" w:lastRow="0" w:firstColumn="1" w:lastColumn="0" w:noHBand="0" w:noVBand="1"/>
      </w:tblPr>
      <w:tblGrid>
        <w:gridCol w:w="1944"/>
        <w:gridCol w:w="4032"/>
        <w:gridCol w:w="4680"/>
      </w:tblGrid>
      <w:tr w:rsidR="00CA27EF" w14:paraId="5E790429" w14:textId="77777777" w:rsidTr="00D94087">
        <w:trPr>
          <w:cantSplit/>
          <w:jc w:val="center"/>
        </w:trPr>
        <w:tc>
          <w:tcPr>
            <w:tcW w:w="1944" w:type="dxa"/>
            <w:shd w:val="clear" w:color="auto" w:fill="DCE6F1"/>
            <w:tcMar>
              <w:top w:w="70" w:type="dxa"/>
              <w:left w:w="80" w:type="dxa"/>
              <w:bottom w:w="70" w:type="dxa"/>
              <w:right w:w="80" w:type="dxa"/>
            </w:tcMar>
          </w:tcPr>
          <w:p w14:paraId="7C344A2E" w14:textId="77777777" w:rsidR="00CA27EF" w:rsidRDefault="00CA27EF" w:rsidP="00D94087">
            <w:pPr>
              <w:keepLines/>
            </w:pPr>
            <w:r>
              <w:rPr>
                <w:b/>
                <w:color w:val="17365D"/>
                <w:sz w:val="15"/>
              </w:rPr>
              <w:t>Level</w:t>
            </w:r>
          </w:p>
        </w:tc>
        <w:tc>
          <w:tcPr>
            <w:tcW w:w="4032" w:type="dxa"/>
            <w:shd w:val="clear" w:color="auto" w:fill="DCE6F1"/>
            <w:tcMar>
              <w:top w:w="70" w:type="dxa"/>
              <w:left w:w="80" w:type="dxa"/>
              <w:bottom w:w="70" w:type="dxa"/>
              <w:right w:w="80" w:type="dxa"/>
            </w:tcMar>
          </w:tcPr>
          <w:p w14:paraId="7D0EB6BA" w14:textId="77777777" w:rsidR="00CA27EF" w:rsidRDefault="00CA27EF" w:rsidP="00D94087">
            <w:pPr>
              <w:keepLines/>
            </w:pPr>
            <w:r>
              <w:rPr>
                <w:b/>
                <w:color w:val="17365D"/>
                <w:sz w:val="15"/>
              </w:rPr>
              <w:t>Mechanism / condition</w:t>
            </w:r>
          </w:p>
        </w:tc>
        <w:tc>
          <w:tcPr>
            <w:tcW w:w="4680" w:type="dxa"/>
            <w:shd w:val="clear" w:color="auto" w:fill="DCE6F1"/>
            <w:tcMar>
              <w:top w:w="70" w:type="dxa"/>
              <w:left w:w="80" w:type="dxa"/>
              <w:bottom w:w="70" w:type="dxa"/>
              <w:right w:w="80" w:type="dxa"/>
            </w:tcMar>
          </w:tcPr>
          <w:p w14:paraId="3884ECB1" w14:textId="77777777" w:rsidR="00CA27EF" w:rsidRDefault="00CA27EF" w:rsidP="00D94087">
            <w:pPr>
              <w:keepLines/>
            </w:pPr>
            <w:r>
              <w:rPr>
                <w:b/>
                <w:color w:val="17365D"/>
                <w:sz w:val="15"/>
              </w:rPr>
              <w:t>Engineering meaning</w:t>
            </w:r>
          </w:p>
        </w:tc>
      </w:tr>
      <w:tr w:rsidR="00CA27EF" w14:paraId="28F98E03" w14:textId="77777777" w:rsidTr="00D94087">
        <w:trPr>
          <w:cantSplit/>
          <w:jc w:val="center"/>
        </w:trPr>
        <w:tc>
          <w:tcPr>
            <w:tcW w:w="1944" w:type="dxa"/>
            <w:tcMar>
              <w:top w:w="65" w:type="dxa"/>
              <w:left w:w="80" w:type="dxa"/>
              <w:bottom w:w="65" w:type="dxa"/>
              <w:right w:w="80" w:type="dxa"/>
            </w:tcMar>
          </w:tcPr>
          <w:p w14:paraId="63A18C22" w14:textId="77777777" w:rsidR="00CA27EF" w:rsidRDefault="00CA27EF" w:rsidP="00D94087">
            <w:pPr>
              <w:keepLines/>
            </w:pPr>
            <w:r>
              <w:rPr>
                <w:color w:val="262626"/>
                <w:sz w:val="14"/>
              </w:rPr>
              <w:t>Systemic / recurring</w:t>
            </w:r>
          </w:p>
        </w:tc>
        <w:tc>
          <w:tcPr>
            <w:tcW w:w="4032" w:type="dxa"/>
            <w:tcMar>
              <w:top w:w="65" w:type="dxa"/>
              <w:left w:w="80" w:type="dxa"/>
              <w:bottom w:w="65" w:type="dxa"/>
              <w:right w:w="80" w:type="dxa"/>
            </w:tcMar>
          </w:tcPr>
          <w:p w14:paraId="4789DC21" w14:textId="77777777" w:rsidR="00CA27EF" w:rsidRDefault="00CA27EF" w:rsidP="00D94087">
            <w:pPr>
              <w:keepLines/>
            </w:pPr>
            <w:r>
              <w:rPr>
                <w:color w:val="262626"/>
                <w:sz w:val="14"/>
              </w:rPr>
              <w:t>Fines carryback; variable cleaner condition/effectiveness; incomplete containment of removed fines at some discharges.</w:t>
            </w:r>
          </w:p>
        </w:tc>
        <w:tc>
          <w:tcPr>
            <w:tcW w:w="4680" w:type="dxa"/>
            <w:tcMar>
              <w:top w:w="65" w:type="dxa"/>
              <w:left w:w="80" w:type="dxa"/>
              <w:bottom w:w="65" w:type="dxa"/>
              <w:right w:w="80" w:type="dxa"/>
            </w:tcMar>
          </w:tcPr>
          <w:p w14:paraId="0ECEA76C" w14:textId="77777777" w:rsidR="00CA27EF" w:rsidRDefault="00CA27EF" w:rsidP="00D94087">
            <w:pPr>
              <w:keepLines/>
            </w:pPr>
            <w:r>
              <w:rPr>
                <w:color w:val="262626"/>
                <w:sz w:val="14"/>
              </w:rPr>
              <w:t>Primary opportunity is source control at relevant discharge/cleaner locations rather than repeated downstream cleanup.</w:t>
            </w:r>
          </w:p>
        </w:tc>
      </w:tr>
      <w:tr w:rsidR="00CA27EF" w14:paraId="385897C3" w14:textId="77777777" w:rsidTr="00D94087">
        <w:trPr>
          <w:cantSplit/>
          <w:jc w:val="center"/>
        </w:trPr>
        <w:tc>
          <w:tcPr>
            <w:tcW w:w="1944" w:type="dxa"/>
            <w:tcMar>
              <w:top w:w="65" w:type="dxa"/>
              <w:left w:w="80" w:type="dxa"/>
              <w:bottom w:w="65" w:type="dxa"/>
              <w:right w:w="80" w:type="dxa"/>
            </w:tcMar>
          </w:tcPr>
          <w:p w14:paraId="08C9D047" w14:textId="77777777" w:rsidR="00CA27EF" w:rsidRDefault="00CA27EF" w:rsidP="00D94087">
            <w:pPr>
              <w:keepLines/>
            </w:pPr>
            <w:r>
              <w:rPr>
                <w:color w:val="262626"/>
                <w:sz w:val="14"/>
              </w:rPr>
              <w:t>Local / geometry-specific</w:t>
            </w:r>
          </w:p>
        </w:tc>
        <w:tc>
          <w:tcPr>
            <w:tcW w:w="4032" w:type="dxa"/>
            <w:tcMar>
              <w:top w:w="65" w:type="dxa"/>
              <w:left w:w="80" w:type="dxa"/>
              <w:bottom w:w="65" w:type="dxa"/>
              <w:right w:w="80" w:type="dxa"/>
            </w:tcMar>
          </w:tcPr>
          <w:p w14:paraId="4147D656" w14:textId="77777777" w:rsidR="00CA27EF" w:rsidRDefault="00CA27EF" w:rsidP="00D94087">
            <w:pPr>
              <w:keepLines/>
            </w:pPr>
            <w:r>
              <w:rPr>
                <w:color w:val="262626"/>
                <w:sz w:val="14"/>
              </w:rPr>
              <w:t>W10 lateral coarse/mixed transit loss; Sample 2/3 feed/product-size/loading/tracking interactions; U4 mistracking with one-sided consequence; L3 alignment concern with separate fines story.</w:t>
            </w:r>
          </w:p>
        </w:tc>
        <w:tc>
          <w:tcPr>
            <w:tcW w:w="4680" w:type="dxa"/>
            <w:tcMar>
              <w:top w:w="65" w:type="dxa"/>
              <w:left w:w="80" w:type="dxa"/>
              <w:bottom w:w="65" w:type="dxa"/>
              <w:right w:w="80" w:type="dxa"/>
            </w:tcMar>
          </w:tcPr>
          <w:p w14:paraId="7BF670F6" w14:textId="77777777" w:rsidR="00CA27EF" w:rsidRDefault="00CA27EF" w:rsidP="00D94087">
            <w:pPr>
              <w:keepLines/>
            </w:pPr>
            <w:r>
              <w:rPr>
                <w:color w:val="262626"/>
                <w:sz w:val="14"/>
              </w:rPr>
              <w:t>Requires location-specific feed, tracking, geometry and residual-containment verification rather than one universal hardware solution.</w:t>
            </w:r>
          </w:p>
        </w:tc>
      </w:tr>
      <w:tr w:rsidR="00CA27EF" w14:paraId="75945B47" w14:textId="77777777" w:rsidTr="00D94087">
        <w:trPr>
          <w:cantSplit/>
          <w:jc w:val="center"/>
        </w:trPr>
        <w:tc>
          <w:tcPr>
            <w:tcW w:w="1944" w:type="dxa"/>
            <w:tcMar>
              <w:top w:w="65" w:type="dxa"/>
              <w:left w:w="80" w:type="dxa"/>
              <w:bottom w:w="65" w:type="dxa"/>
              <w:right w:w="80" w:type="dxa"/>
            </w:tcMar>
          </w:tcPr>
          <w:p w14:paraId="39C2DA33" w14:textId="77777777" w:rsidR="00CA27EF" w:rsidRDefault="00CA27EF" w:rsidP="00D94087">
            <w:pPr>
              <w:keepLines/>
            </w:pPr>
            <w:r>
              <w:rPr>
                <w:color w:val="262626"/>
                <w:sz w:val="14"/>
              </w:rPr>
              <w:t>Water / structural</w:t>
            </w:r>
          </w:p>
        </w:tc>
        <w:tc>
          <w:tcPr>
            <w:tcW w:w="4032" w:type="dxa"/>
            <w:tcMar>
              <w:top w:w="65" w:type="dxa"/>
              <w:left w:w="80" w:type="dxa"/>
              <w:bottom w:w="65" w:type="dxa"/>
              <w:right w:w="80" w:type="dxa"/>
            </w:tcMar>
          </w:tcPr>
          <w:p w14:paraId="03399F83" w14:textId="77777777" w:rsidR="00CA27EF" w:rsidRDefault="00CA27EF" w:rsidP="00D94087">
            <w:pPr>
              <w:keepLines/>
            </w:pPr>
            <w:r>
              <w:rPr>
                <w:color w:val="262626"/>
                <w:sz w:val="14"/>
              </w:rPr>
              <w:t>Confirmed Screens water escape; CV01/CV04 wet conditions; Screens and L1 structural deterioration.</w:t>
            </w:r>
          </w:p>
        </w:tc>
        <w:tc>
          <w:tcPr>
            <w:tcW w:w="4680" w:type="dxa"/>
            <w:tcMar>
              <w:top w:w="65" w:type="dxa"/>
              <w:left w:w="80" w:type="dxa"/>
              <w:bottom w:w="65" w:type="dxa"/>
              <w:right w:w="80" w:type="dxa"/>
            </w:tcMar>
          </w:tcPr>
          <w:p w14:paraId="54A914EB" w14:textId="77777777" w:rsidR="00CA27EF" w:rsidRDefault="00CA27EF" w:rsidP="00D94087">
            <w:pPr>
              <w:keepLines/>
            </w:pPr>
            <w:r>
              <w:rPr>
                <w:color w:val="262626"/>
                <w:sz w:val="14"/>
              </w:rPr>
              <w:t>Water containment and structural integrity require dedicated inspection/assessment and should not be treated as housekeeping only.</w:t>
            </w:r>
          </w:p>
        </w:tc>
      </w:tr>
      <w:tr w:rsidR="00CA27EF" w14:paraId="086BC0B5" w14:textId="77777777" w:rsidTr="00D94087">
        <w:trPr>
          <w:cantSplit/>
          <w:jc w:val="center"/>
        </w:trPr>
        <w:tc>
          <w:tcPr>
            <w:tcW w:w="1944" w:type="dxa"/>
            <w:tcMar>
              <w:top w:w="65" w:type="dxa"/>
              <w:left w:w="80" w:type="dxa"/>
              <w:bottom w:w="65" w:type="dxa"/>
              <w:right w:w="80" w:type="dxa"/>
            </w:tcMar>
          </w:tcPr>
          <w:p w14:paraId="577EB6D1" w14:textId="77777777" w:rsidR="00CA27EF" w:rsidRDefault="00CA27EF" w:rsidP="00D94087">
            <w:pPr>
              <w:keepLines/>
            </w:pPr>
            <w:r>
              <w:rPr>
                <w:color w:val="262626"/>
                <w:sz w:val="14"/>
              </w:rPr>
              <w:t>Operational</w:t>
            </w:r>
          </w:p>
        </w:tc>
        <w:tc>
          <w:tcPr>
            <w:tcW w:w="4032" w:type="dxa"/>
            <w:tcMar>
              <w:top w:w="65" w:type="dxa"/>
              <w:left w:w="80" w:type="dxa"/>
              <w:bottom w:w="65" w:type="dxa"/>
              <w:right w:w="80" w:type="dxa"/>
            </w:tcMar>
          </w:tcPr>
          <w:p w14:paraId="33384BDD" w14:textId="77777777" w:rsidR="00CA27EF" w:rsidRDefault="00CA27EF" w:rsidP="00D94087">
            <w:pPr>
              <w:keepLines/>
            </w:pPr>
            <w:r>
              <w:rPr>
                <w:color w:val="262626"/>
                <w:sz w:val="14"/>
              </w:rPr>
              <w:t>Possible trip/restart off-loading and area-specific housekeeping/recovery.</w:t>
            </w:r>
          </w:p>
        </w:tc>
        <w:tc>
          <w:tcPr>
            <w:tcW w:w="4680" w:type="dxa"/>
            <w:tcMar>
              <w:top w:w="65" w:type="dxa"/>
              <w:left w:w="80" w:type="dxa"/>
              <w:bottom w:w="65" w:type="dxa"/>
              <w:right w:w="80" w:type="dxa"/>
            </w:tcMar>
          </w:tcPr>
          <w:p w14:paraId="11C33242" w14:textId="77777777" w:rsidR="00CA27EF" w:rsidRDefault="00CA27EF" w:rsidP="00D94087">
            <w:pPr>
              <w:keepLines/>
            </w:pPr>
            <w:r>
              <w:rPr>
                <w:color w:val="262626"/>
                <w:sz w:val="14"/>
              </w:rPr>
              <w:t>Confirm governance, controlled recovery/reintroduction and area-specific housekeeping routes/frequency; keep these controls separate from source-mechanism correction.</w:t>
            </w:r>
          </w:p>
        </w:tc>
      </w:tr>
    </w:tbl>
    <w:p w14:paraId="28CC921C" w14:textId="77777777" w:rsidR="00CA27EF" w:rsidRDefault="00CA27EF" w:rsidP="00CA27EF">
      <w:pPr>
        <w:pStyle w:val="BodyText"/>
        <w:spacing w:after="80" w:line="252" w:lineRule="auto"/>
      </w:pPr>
      <w:r>
        <w:t>The strongest recurring system themes are fines/carryback, variable cleaner condition/effectiveness and incomplete containment of cleaner-removed material at some discharges. Local mechanisms include W10 lateral coarse/mixed-product escape, Sample Conveyor feed/product-size/loading/tracking interactions, U4 mistracking with a one-sided coarse-product consequence, and an L3 alignment concern without the same proven coarse-product causal chain. The Screens require separate water-source and structural workstreams; L1 requires structural and historical-contact/clearance workstreams; and trip/restart handling and housekeeping remain supporting operational controls rather than one common mechanical cause.</w:t>
      </w:r>
    </w:p>
    <w:p w14:paraId="4B0DF20C" w14:textId="77777777" w:rsidR="00CA27EF" w:rsidRDefault="00CA27EF" w:rsidP="00CA27EF">
      <w:pPr>
        <w:pStyle w:val="BodyText"/>
      </w:pPr>
      <w:r>
        <w:t xml:space="preserve">The most important systems insight remains that the visible deposit location may be a consequence location rather than the initiating cause location. The recommended </w:t>
      </w:r>
      <w:proofErr w:type="spellStart"/>
      <w:r>
        <w:t>programme</w:t>
      </w:r>
      <w:proofErr w:type="spellEnd"/>
      <w:r>
        <w:t xml:space="preserve"> is therefore </w:t>
      </w:r>
      <w:proofErr w:type="spellStart"/>
      <w:r>
        <w:t>organised</w:t>
      </w:r>
      <w:proofErr w:type="spellEnd"/>
      <w:r>
        <w:t xml:space="preserve"> around the material-control function and mechanism supported by evidence: establish the actual loss mechanism, verify the relevant geometry/operating condition, correct primary contributors, retain product/water inside the intended process, add residual containment only where required, and prove the result under representative operation.</w:t>
      </w:r>
    </w:p>
    <w:p w14:paraId="57112670" w14:textId="5E5A497D" w:rsidR="00144968" w:rsidRPr="00CA27EF" w:rsidRDefault="00144968" w:rsidP="00CA27EF"/>
    <w:sectPr w:rsidR="00144968" w:rsidRPr="00CA27E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CDC55E6"/>
    <w:multiLevelType w:val="hybridMultilevel"/>
    <w:tmpl w:val="F884AB6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270B1BCF"/>
    <w:multiLevelType w:val="hybridMultilevel"/>
    <w:tmpl w:val="F41EDFC4"/>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num w:numId="1" w16cid:durableId="1337727341">
    <w:abstractNumId w:val="0"/>
  </w:num>
  <w:num w:numId="2" w16cid:durableId="724649228">
    <w:abstractNumId w:val="2"/>
  </w:num>
  <w:num w:numId="3" w16cid:durableId="20738453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22C"/>
    <w:rsid w:val="00014F6A"/>
    <w:rsid w:val="00017F40"/>
    <w:rsid w:val="00065192"/>
    <w:rsid w:val="000D0C0B"/>
    <w:rsid w:val="000F79D0"/>
    <w:rsid w:val="00102867"/>
    <w:rsid w:val="00144968"/>
    <w:rsid w:val="002B32E2"/>
    <w:rsid w:val="00315147"/>
    <w:rsid w:val="00316E3C"/>
    <w:rsid w:val="00353132"/>
    <w:rsid w:val="00356D42"/>
    <w:rsid w:val="00366AAF"/>
    <w:rsid w:val="003E789F"/>
    <w:rsid w:val="0044597F"/>
    <w:rsid w:val="0048434E"/>
    <w:rsid w:val="004A20B5"/>
    <w:rsid w:val="0080026E"/>
    <w:rsid w:val="00804A10"/>
    <w:rsid w:val="00806EFC"/>
    <w:rsid w:val="00847620"/>
    <w:rsid w:val="008709ED"/>
    <w:rsid w:val="00895520"/>
    <w:rsid w:val="00896023"/>
    <w:rsid w:val="008A7319"/>
    <w:rsid w:val="008C5CD4"/>
    <w:rsid w:val="00911178"/>
    <w:rsid w:val="00934213"/>
    <w:rsid w:val="00955D21"/>
    <w:rsid w:val="009601D8"/>
    <w:rsid w:val="009B3C7C"/>
    <w:rsid w:val="00A0142B"/>
    <w:rsid w:val="00A06C7D"/>
    <w:rsid w:val="00A61CD4"/>
    <w:rsid w:val="00A704E3"/>
    <w:rsid w:val="00A957F9"/>
    <w:rsid w:val="00AC124A"/>
    <w:rsid w:val="00AC6578"/>
    <w:rsid w:val="00B57A56"/>
    <w:rsid w:val="00B74D21"/>
    <w:rsid w:val="00BD06B7"/>
    <w:rsid w:val="00C511C4"/>
    <w:rsid w:val="00C54407"/>
    <w:rsid w:val="00C55E25"/>
    <w:rsid w:val="00C67E87"/>
    <w:rsid w:val="00C752A2"/>
    <w:rsid w:val="00CA27EF"/>
    <w:rsid w:val="00CC5CC1"/>
    <w:rsid w:val="00CE3924"/>
    <w:rsid w:val="00D26469"/>
    <w:rsid w:val="00D47526"/>
    <w:rsid w:val="00D65718"/>
    <w:rsid w:val="00DE40C5"/>
    <w:rsid w:val="00E53775"/>
    <w:rsid w:val="00E76E39"/>
    <w:rsid w:val="00ED63A8"/>
    <w:rsid w:val="00EF6549"/>
    <w:rsid w:val="00F040F3"/>
    <w:rsid w:val="00F10F9F"/>
    <w:rsid w:val="00F22CF3"/>
    <w:rsid w:val="00F30C86"/>
    <w:rsid w:val="00F4786C"/>
    <w:rsid w:val="00F8447B"/>
    <w:rsid w:val="00FB322C"/>
    <w:rsid w:val="00FE3AC2"/>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A898A1"/>
  <w15:chartTrackingRefBased/>
  <w15:docId w15:val="{7EA6DE48-FFC0-4548-ACB0-E6F5DD99D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322C"/>
    <w:pPr>
      <w:spacing w:after="200" w:line="276" w:lineRule="auto"/>
    </w:pPr>
    <w:rPr>
      <w:rFonts w:ascii="Arial" w:eastAsiaTheme="minorEastAsia" w:hAnsi="Arial"/>
      <w:color w:val="000000"/>
      <w:kern w:val="0"/>
      <w:sz w:val="19"/>
      <w:lang w:val="en-US"/>
      <w14:ligatures w14:val="none"/>
    </w:rPr>
  </w:style>
  <w:style w:type="paragraph" w:styleId="Heading1">
    <w:name w:val="heading 1"/>
    <w:basedOn w:val="Normal"/>
    <w:next w:val="Normal"/>
    <w:link w:val="Heading1Char"/>
    <w:uiPriority w:val="9"/>
    <w:qFormat/>
    <w:rsid w:val="00FB322C"/>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lang w:val="en-ZA"/>
      <w14:ligatures w14:val="standardContextual"/>
    </w:rPr>
  </w:style>
  <w:style w:type="paragraph" w:styleId="Heading2">
    <w:name w:val="heading 2"/>
    <w:basedOn w:val="Normal"/>
    <w:next w:val="Normal"/>
    <w:link w:val="Heading2Char"/>
    <w:uiPriority w:val="9"/>
    <w:unhideWhenUsed/>
    <w:qFormat/>
    <w:rsid w:val="00FB322C"/>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lang w:val="en-ZA"/>
      <w14:ligatures w14:val="standardContextual"/>
    </w:rPr>
  </w:style>
  <w:style w:type="paragraph" w:styleId="Heading3">
    <w:name w:val="heading 3"/>
    <w:basedOn w:val="Normal"/>
    <w:next w:val="Normal"/>
    <w:link w:val="Heading3Char"/>
    <w:uiPriority w:val="9"/>
    <w:unhideWhenUsed/>
    <w:qFormat/>
    <w:rsid w:val="00FB322C"/>
    <w:pPr>
      <w:keepNext/>
      <w:keepLines/>
      <w:spacing w:before="160" w:after="80" w:line="259" w:lineRule="auto"/>
      <w:outlineLvl w:val="2"/>
    </w:pPr>
    <w:rPr>
      <w:rFonts w:asciiTheme="minorHAnsi" w:eastAsiaTheme="majorEastAsia" w:hAnsiTheme="minorHAnsi" w:cstheme="majorBidi"/>
      <w:color w:val="2F5496" w:themeColor="accent1" w:themeShade="BF"/>
      <w:kern w:val="2"/>
      <w:sz w:val="28"/>
      <w:szCs w:val="28"/>
      <w:lang w:val="en-ZA"/>
      <w14:ligatures w14:val="standardContextual"/>
    </w:rPr>
  </w:style>
  <w:style w:type="paragraph" w:styleId="Heading4">
    <w:name w:val="heading 4"/>
    <w:basedOn w:val="Normal"/>
    <w:next w:val="Normal"/>
    <w:link w:val="Heading4Char"/>
    <w:uiPriority w:val="9"/>
    <w:semiHidden/>
    <w:unhideWhenUsed/>
    <w:qFormat/>
    <w:rsid w:val="00FB322C"/>
    <w:pPr>
      <w:keepNext/>
      <w:keepLines/>
      <w:spacing w:before="80" w:after="40" w:line="259" w:lineRule="auto"/>
      <w:outlineLvl w:val="3"/>
    </w:pPr>
    <w:rPr>
      <w:rFonts w:asciiTheme="minorHAnsi" w:eastAsiaTheme="majorEastAsia" w:hAnsiTheme="minorHAnsi" w:cstheme="majorBidi"/>
      <w:i/>
      <w:iCs/>
      <w:color w:val="2F5496" w:themeColor="accent1" w:themeShade="BF"/>
      <w:kern w:val="2"/>
      <w:sz w:val="22"/>
      <w:lang w:val="en-ZA"/>
      <w14:ligatures w14:val="standardContextual"/>
    </w:rPr>
  </w:style>
  <w:style w:type="paragraph" w:styleId="Heading5">
    <w:name w:val="heading 5"/>
    <w:basedOn w:val="Normal"/>
    <w:next w:val="Normal"/>
    <w:link w:val="Heading5Char"/>
    <w:uiPriority w:val="9"/>
    <w:semiHidden/>
    <w:unhideWhenUsed/>
    <w:qFormat/>
    <w:rsid w:val="00FB322C"/>
    <w:pPr>
      <w:keepNext/>
      <w:keepLines/>
      <w:spacing w:before="80" w:after="40" w:line="259" w:lineRule="auto"/>
      <w:outlineLvl w:val="4"/>
    </w:pPr>
    <w:rPr>
      <w:rFonts w:asciiTheme="minorHAnsi" w:eastAsiaTheme="majorEastAsia" w:hAnsiTheme="minorHAnsi" w:cstheme="majorBidi"/>
      <w:color w:val="2F5496" w:themeColor="accent1" w:themeShade="BF"/>
      <w:kern w:val="2"/>
      <w:sz w:val="22"/>
      <w:lang w:val="en-ZA"/>
      <w14:ligatures w14:val="standardContextual"/>
    </w:rPr>
  </w:style>
  <w:style w:type="paragraph" w:styleId="Heading6">
    <w:name w:val="heading 6"/>
    <w:basedOn w:val="Normal"/>
    <w:next w:val="Normal"/>
    <w:link w:val="Heading6Char"/>
    <w:uiPriority w:val="9"/>
    <w:semiHidden/>
    <w:unhideWhenUsed/>
    <w:qFormat/>
    <w:rsid w:val="00FB322C"/>
    <w:pPr>
      <w:keepNext/>
      <w:keepLines/>
      <w:spacing w:before="40" w:after="0" w:line="259" w:lineRule="auto"/>
      <w:outlineLvl w:val="5"/>
    </w:pPr>
    <w:rPr>
      <w:rFonts w:asciiTheme="minorHAnsi" w:eastAsiaTheme="majorEastAsia" w:hAnsiTheme="minorHAnsi" w:cstheme="majorBidi"/>
      <w:i/>
      <w:iCs/>
      <w:color w:val="595959" w:themeColor="text1" w:themeTint="A6"/>
      <w:kern w:val="2"/>
      <w:sz w:val="22"/>
      <w:lang w:val="en-ZA"/>
      <w14:ligatures w14:val="standardContextual"/>
    </w:rPr>
  </w:style>
  <w:style w:type="paragraph" w:styleId="Heading7">
    <w:name w:val="heading 7"/>
    <w:basedOn w:val="Normal"/>
    <w:next w:val="Normal"/>
    <w:link w:val="Heading7Char"/>
    <w:uiPriority w:val="9"/>
    <w:semiHidden/>
    <w:unhideWhenUsed/>
    <w:qFormat/>
    <w:rsid w:val="00FB322C"/>
    <w:pPr>
      <w:keepNext/>
      <w:keepLines/>
      <w:spacing w:before="40" w:after="0" w:line="259" w:lineRule="auto"/>
      <w:outlineLvl w:val="6"/>
    </w:pPr>
    <w:rPr>
      <w:rFonts w:asciiTheme="minorHAnsi" w:eastAsiaTheme="majorEastAsia" w:hAnsiTheme="minorHAnsi" w:cstheme="majorBidi"/>
      <w:color w:val="595959" w:themeColor="text1" w:themeTint="A6"/>
      <w:kern w:val="2"/>
      <w:sz w:val="22"/>
      <w:lang w:val="en-ZA"/>
      <w14:ligatures w14:val="standardContextual"/>
    </w:rPr>
  </w:style>
  <w:style w:type="paragraph" w:styleId="Heading8">
    <w:name w:val="heading 8"/>
    <w:basedOn w:val="Normal"/>
    <w:next w:val="Normal"/>
    <w:link w:val="Heading8Char"/>
    <w:uiPriority w:val="9"/>
    <w:semiHidden/>
    <w:unhideWhenUsed/>
    <w:qFormat/>
    <w:rsid w:val="00FB322C"/>
    <w:pPr>
      <w:keepNext/>
      <w:keepLines/>
      <w:spacing w:after="0" w:line="259" w:lineRule="auto"/>
      <w:outlineLvl w:val="7"/>
    </w:pPr>
    <w:rPr>
      <w:rFonts w:asciiTheme="minorHAnsi" w:eastAsiaTheme="majorEastAsia" w:hAnsiTheme="minorHAnsi" w:cstheme="majorBidi"/>
      <w:i/>
      <w:iCs/>
      <w:color w:val="272727" w:themeColor="text1" w:themeTint="D8"/>
      <w:kern w:val="2"/>
      <w:sz w:val="22"/>
      <w:lang w:val="en-ZA"/>
      <w14:ligatures w14:val="standardContextual"/>
    </w:rPr>
  </w:style>
  <w:style w:type="paragraph" w:styleId="Heading9">
    <w:name w:val="heading 9"/>
    <w:basedOn w:val="Normal"/>
    <w:next w:val="Normal"/>
    <w:link w:val="Heading9Char"/>
    <w:uiPriority w:val="9"/>
    <w:semiHidden/>
    <w:unhideWhenUsed/>
    <w:qFormat/>
    <w:rsid w:val="00FB322C"/>
    <w:pPr>
      <w:keepNext/>
      <w:keepLines/>
      <w:spacing w:after="0" w:line="259" w:lineRule="auto"/>
      <w:outlineLvl w:val="8"/>
    </w:pPr>
    <w:rPr>
      <w:rFonts w:asciiTheme="minorHAnsi" w:eastAsiaTheme="majorEastAsia" w:hAnsiTheme="minorHAnsi" w:cstheme="majorBidi"/>
      <w:color w:val="272727" w:themeColor="text1" w:themeTint="D8"/>
      <w:kern w:val="2"/>
      <w:sz w:val="22"/>
      <w:lang w:val="en-ZA"/>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322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B322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B322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B322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322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32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32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32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322C"/>
    <w:rPr>
      <w:rFonts w:eastAsiaTheme="majorEastAsia" w:cstheme="majorBidi"/>
      <w:color w:val="272727" w:themeColor="text1" w:themeTint="D8"/>
    </w:rPr>
  </w:style>
  <w:style w:type="paragraph" w:styleId="Title">
    <w:name w:val="Title"/>
    <w:basedOn w:val="Normal"/>
    <w:next w:val="Normal"/>
    <w:link w:val="TitleChar"/>
    <w:uiPriority w:val="10"/>
    <w:qFormat/>
    <w:rsid w:val="00FB322C"/>
    <w:pPr>
      <w:spacing w:after="80" w:line="240" w:lineRule="auto"/>
      <w:contextualSpacing/>
    </w:pPr>
    <w:rPr>
      <w:rFonts w:asciiTheme="majorHAnsi" w:eastAsiaTheme="majorEastAsia" w:hAnsiTheme="majorHAnsi" w:cstheme="majorBidi"/>
      <w:color w:val="auto"/>
      <w:spacing w:val="-10"/>
      <w:kern w:val="28"/>
      <w:sz w:val="56"/>
      <w:szCs w:val="56"/>
      <w:lang w:val="en-ZA"/>
      <w14:ligatures w14:val="standardContextual"/>
    </w:rPr>
  </w:style>
  <w:style w:type="character" w:customStyle="1" w:styleId="TitleChar">
    <w:name w:val="Title Char"/>
    <w:basedOn w:val="DefaultParagraphFont"/>
    <w:link w:val="Title"/>
    <w:uiPriority w:val="10"/>
    <w:rsid w:val="00FB32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322C"/>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val="en-ZA"/>
      <w14:ligatures w14:val="standardContextual"/>
    </w:rPr>
  </w:style>
  <w:style w:type="character" w:customStyle="1" w:styleId="SubtitleChar">
    <w:name w:val="Subtitle Char"/>
    <w:basedOn w:val="DefaultParagraphFont"/>
    <w:link w:val="Subtitle"/>
    <w:uiPriority w:val="11"/>
    <w:rsid w:val="00FB32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322C"/>
    <w:pPr>
      <w:spacing w:before="160" w:after="160" w:line="259" w:lineRule="auto"/>
      <w:jc w:val="center"/>
    </w:pPr>
    <w:rPr>
      <w:rFonts w:asciiTheme="minorHAnsi" w:eastAsiaTheme="minorHAnsi" w:hAnsiTheme="minorHAnsi"/>
      <w:i/>
      <w:iCs/>
      <w:color w:val="404040" w:themeColor="text1" w:themeTint="BF"/>
      <w:kern w:val="2"/>
      <w:sz w:val="22"/>
      <w:lang w:val="en-ZA"/>
      <w14:ligatures w14:val="standardContextual"/>
    </w:rPr>
  </w:style>
  <w:style w:type="character" w:customStyle="1" w:styleId="QuoteChar">
    <w:name w:val="Quote Char"/>
    <w:basedOn w:val="DefaultParagraphFont"/>
    <w:link w:val="Quote"/>
    <w:uiPriority w:val="29"/>
    <w:rsid w:val="00FB322C"/>
    <w:rPr>
      <w:i/>
      <w:iCs/>
      <w:color w:val="404040" w:themeColor="text1" w:themeTint="BF"/>
    </w:rPr>
  </w:style>
  <w:style w:type="paragraph" w:styleId="ListParagraph">
    <w:name w:val="List Paragraph"/>
    <w:basedOn w:val="Normal"/>
    <w:uiPriority w:val="34"/>
    <w:qFormat/>
    <w:rsid w:val="00FB322C"/>
    <w:pPr>
      <w:spacing w:after="160" w:line="259" w:lineRule="auto"/>
      <w:ind w:left="720"/>
      <w:contextualSpacing/>
    </w:pPr>
    <w:rPr>
      <w:rFonts w:asciiTheme="minorHAnsi" w:eastAsiaTheme="minorHAnsi" w:hAnsiTheme="minorHAnsi"/>
      <w:color w:val="auto"/>
      <w:kern w:val="2"/>
      <w:sz w:val="22"/>
      <w:lang w:val="en-ZA"/>
      <w14:ligatures w14:val="standardContextual"/>
    </w:rPr>
  </w:style>
  <w:style w:type="character" w:styleId="IntenseEmphasis">
    <w:name w:val="Intense Emphasis"/>
    <w:basedOn w:val="DefaultParagraphFont"/>
    <w:uiPriority w:val="21"/>
    <w:qFormat/>
    <w:rsid w:val="00FB322C"/>
    <w:rPr>
      <w:i/>
      <w:iCs/>
      <w:color w:val="2F5496" w:themeColor="accent1" w:themeShade="BF"/>
    </w:rPr>
  </w:style>
  <w:style w:type="paragraph" w:styleId="IntenseQuote">
    <w:name w:val="Intense Quote"/>
    <w:basedOn w:val="Normal"/>
    <w:next w:val="Normal"/>
    <w:link w:val="IntenseQuoteChar"/>
    <w:uiPriority w:val="30"/>
    <w:qFormat/>
    <w:rsid w:val="00FB322C"/>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eastAsiaTheme="minorHAnsi" w:hAnsiTheme="minorHAnsi"/>
      <w:i/>
      <w:iCs/>
      <w:color w:val="2F5496" w:themeColor="accent1" w:themeShade="BF"/>
      <w:kern w:val="2"/>
      <w:sz w:val="22"/>
      <w:lang w:val="en-ZA"/>
      <w14:ligatures w14:val="standardContextual"/>
    </w:rPr>
  </w:style>
  <w:style w:type="character" w:customStyle="1" w:styleId="IntenseQuoteChar">
    <w:name w:val="Intense Quote Char"/>
    <w:basedOn w:val="DefaultParagraphFont"/>
    <w:link w:val="IntenseQuote"/>
    <w:uiPriority w:val="30"/>
    <w:rsid w:val="00FB322C"/>
    <w:rPr>
      <w:i/>
      <w:iCs/>
      <w:color w:val="2F5496" w:themeColor="accent1" w:themeShade="BF"/>
    </w:rPr>
  </w:style>
  <w:style w:type="character" w:styleId="IntenseReference">
    <w:name w:val="Intense Reference"/>
    <w:basedOn w:val="DefaultParagraphFont"/>
    <w:uiPriority w:val="32"/>
    <w:qFormat/>
    <w:rsid w:val="00FB322C"/>
    <w:rPr>
      <w:b/>
      <w:bCs/>
      <w:smallCaps/>
      <w:color w:val="2F5496" w:themeColor="accent1" w:themeShade="BF"/>
      <w:spacing w:val="5"/>
    </w:rPr>
  </w:style>
  <w:style w:type="paragraph" w:styleId="BodyText">
    <w:name w:val="Body Text"/>
    <w:basedOn w:val="Normal"/>
    <w:link w:val="BodyTextChar"/>
    <w:uiPriority w:val="99"/>
    <w:unhideWhenUsed/>
    <w:rsid w:val="00FB322C"/>
    <w:pPr>
      <w:spacing w:after="120"/>
    </w:pPr>
  </w:style>
  <w:style w:type="character" w:customStyle="1" w:styleId="BodyTextChar">
    <w:name w:val="Body Text Char"/>
    <w:basedOn w:val="DefaultParagraphFont"/>
    <w:link w:val="BodyText"/>
    <w:uiPriority w:val="99"/>
    <w:rsid w:val="00FB322C"/>
    <w:rPr>
      <w:rFonts w:ascii="Arial" w:eastAsiaTheme="minorEastAsia" w:hAnsi="Arial"/>
      <w:color w:val="000000"/>
      <w:kern w:val="0"/>
      <w:sz w:val="19"/>
      <w:lang w:val="en-US"/>
      <w14:ligatures w14:val="none"/>
    </w:rPr>
  </w:style>
  <w:style w:type="paragraph" w:styleId="NormalWeb">
    <w:name w:val="Normal (Web)"/>
    <w:basedOn w:val="Normal"/>
    <w:uiPriority w:val="99"/>
    <w:unhideWhenUsed/>
    <w:rsid w:val="008C5CD4"/>
    <w:pPr>
      <w:spacing w:before="100" w:beforeAutospacing="1" w:after="100" w:afterAutospacing="1" w:line="240" w:lineRule="auto"/>
    </w:pPr>
    <w:rPr>
      <w:rFonts w:ascii="Times New Roman" w:eastAsia="Times New Roman" w:hAnsi="Times New Roman" w:cs="Times New Roman"/>
      <w:color w:val="auto"/>
      <w:sz w:val="24"/>
      <w:szCs w:val="24"/>
      <w:lang w:val="en-ZA" w:eastAsia="en-ZA"/>
    </w:rPr>
  </w:style>
  <w:style w:type="paragraph" w:styleId="ListBullet">
    <w:name w:val="List Bullet"/>
    <w:basedOn w:val="Normal"/>
    <w:uiPriority w:val="99"/>
    <w:unhideWhenUsed/>
    <w:rsid w:val="00847620"/>
    <w:pPr>
      <w:numPr>
        <w:numId w:val="1"/>
      </w:numPr>
      <w:tabs>
        <w:tab w:val="clear" w:pos="360"/>
      </w:tabs>
      <w:ind w:left="0" w:firstLine="0"/>
      <w:contextualSpacing/>
    </w:pPr>
    <w:rPr>
      <w:sz w:val="18"/>
    </w:rPr>
  </w:style>
  <w:style w:type="paragraph" w:styleId="Caption">
    <w:name w:val="caption"/>
    <w:basedOn w:val="Normal"/>
    <w:next w:val="Normal"/>
    <w:uiPriority w:val="35"/>
    <w:semiHidden/>
    <w:unhideWhenUsed/>
    <w:qFormat/>
    <w:rsid w:val="00847620"/>
    <w:pPr>
      <w:spacing w:line="240" w:lineRule="auto"/>
    </w:pPr>
    <w:rPr>
      <w:b/>
      <w:bCs/>
      <w:color w:val="404040"/>
      <w:sz w:val="16"/>
      <w:szCs w:val="18"/>
    </w:rPr>
  </w:style>
  <w:style w:type="character" w:styleId="Strong">
    <w:name w:val="Strong"/>
    <w:basedOn w:val="DefaultParagraphFont"/>
    <w:uiPriority w:val="22"/>
    <w:qFormat/>
    <w:rsid w:val="00F22CF3"/>
    <w:rPr>
      <w:b/>
      <w:bCs/>
    </w:rPr>
  </w:style>
  <w:style w:type="table" w:styleId="TableGrid">
    <w:name w:val="Table Grid"/>
    <w:basedOn w:val="TableNormal"/>
    <w:uiPriority w:val="59"/>
    <w:rsid w:val="00EF6549"/>
    <w:pPr>
      <w:spacing w:after="0" w:line="240" w:lineRule="auto"/>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422</Words>
  <Characters>2407</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Brendan Wood</dc:creator>
  <cp:keywords/>
  <dc:description/>
  <cp:lastModifiedBy>Brendan Wood</cp:lastModifiedBy>
  <cp:revision>2</cp:revision>
  <dcterms:created xsi:type="dcterms:W3CDTF">2026-08-31T06:29:00Z</dcterms:created>
  <dcterms:modified xsi:type="dcterms:W3CDTF">2026-08-31T06:29:00Z</dcterms:modified>
</cp:coreProperties>
</file>