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3A8B3" w14:textId="77777777" w:rsidR="00860F8E" w:rsidRDefault="00860F8E" w:rsidP="00860F8E">
      <w:pPr>
        <w:pStyle w:val="Heading2"/>
        <w:rPr>
          <w:rFonts w:ascii="Arial" w:hAnsi="Arial"/>
        </w:rPr>
      </w:pPr>
      <w:r>
        <w:rPr>
          <w:rFonts w:ascii="Arial" w:hAnsi="Arial"/>
        </w:rPr>
        <w:t>9.2 CV09 — Cleaner Removes Material, But Containment Still Fails</w:t>
      </w:r>
    </w:p>
    <w:p w14:paraId="57124583" w14:textId="6C7A17B0" w:rsidR="00B5601A" w:rsidRPr="00B5601A" w:rsidRDefault="00B5601A" w:rsidP="00B5601A">
      <w:pPr>
        <w:rPr>
          <w:lang w:val="en-ZA"/>
        </w:rPr>
      </w:pPr>
      <w:r>
        <w:rPr>
          <w:lang w:val="en-ZA"/>
        </w:rPr>
        <w:t>[</w:t>
      </w:r>
      <w:r w:rsidR="004A5E07">
        <w:rPr>
          <w:lang w:val="en-ZA"/>
        </w:rPr>
        <w:t>evaluate</w:t>
      </w:r>
      <w:r>
        <w:rPr>
          <w:lang w:val="en-ZA"/>
        </w:rPr>
        <w:t xml:space="preserve"> if these two paragraphs need to be softened?]</w:t>
      </w:r>
    </w:p>
    <w:p w14:paraId="35CB8D15" w14:textId="2A79B6FF" w:rsidR="00860F8E" w:rsidRDefault="00860F8E" w:rsidP="00860F8E">
      <w:pPr>
        <w:pStyle w:val="BodyText"/>
        <w:spacing w:after="80" w:line="252" w:lineRule="auto"/>
      </w:pPr>
      <w:r>
        <w:t>CV09 demonstrates a different failure mode. The existing cleaner is outside/open to the effective head-chute discharge containment arrangement. It removes some wet residual material, but successfully removed material can fall directly into the surrounding plant area while residual carryback can continue onto the return run.</w:t>
      </w:r>
      <w:r w:rsidR="00BE0D3C">
        <w:t>[I want to expand the last sentence by also adding that the carry back not only pollutes/escapes to the environment below but carries down to the screen plant section populating the floor and surrounding sections of the screen levels where the conveyor tailed overlaps with the screen plant. ]</w:t>
      </w:r>
      <w:r>
        <w:t xml:space="preserve"> Active wet-material fallout was recorded during operation. CV09 is therefore a useful pilot for proving belt cleaning and containment as one integrated control function.</w:t>
      </w:r>
      <w:r w:rsidR="00BE0D3C">
        <w:t>[I want to also expand this sentence by also defining that this belt is one of the area where if the proposed solution is piloted will have high impact in solving/reducing fines spillage]</w:t>
      </w:r>
    </w:p>
    <w:p w14:paraId="5CF01EFE" w14:textId="77777777" w:rsidR="00860F8E" w:rsidRDefault="00860F8E" w:rsidP="00860F8E">
      <w:pPr>
        <w:pStyle w:val="BodyText"/>
        <w:spacing w:after="80" w:line="252" w:lineRule="auto"/>
      </w:pPr>
      <w:r>
        <w:t>The accepted functional objective is to remove residual fines before the belt enters the return run, with the cleaner acting while the belt is positively supported by the head pulley and with the cleaner stages located inside the existing head/discharge chute. This allows scraper-removed fines to fall naturally into the existing combined-product discharge flow rather than requiring a separate fines-recovery chute. Site geometry, mounting, access and the final OEM arrangement still require verification and detailed design.</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ayout w:type="fixed"/>
        <w:tblLook w:val="04A0" w:firstRow="1" w:lastRow="0" w:firstColumn="1" w:lastColumn="0" w:noHBand="0" w:noVBand="1"/>
      </w:tblPr>
      <w:tblGrid>
        <w:gridCol w:w="2232"/>
        <w:gridCol w:w="2644"/>
        <w:gridCol w:w="5564"/>
        <w:gridCol w:w="30"/>
      </w:tblGrid>
      <w:tr w:rsidR="00860F8E" w14:paraId="0669F836" w14:textId="77777777" w:rsidTr="00500347">
        <w:trPr>
          <w:cantSplit/>
          <w:jc w:val="center"/>
        </w:trPr>
        <w:tc>
          <w:tcPr>
            <w:tcW w:w="4876" w:type="dxa"/>
            <w:gridSpan w:val="2"/>
            <w:shd w:val="clear" w:color="auto" w:fill="FAFAFA"/>
            <w:tcMar>
              <w:top w:w="60" w:type="dxa"/>
              <w:left w:w="60" w:type="dxa"/>
              <w:bottom w:w="60" w:type="dxa"/>
              <w:right w:w="60" w:type="dxa"/>
            </w:tcMar>
          </w:tcPr>
          <w:p w14:paraId="02E1D13E" w14:textId="77777777" w:rsidR="00860F8E" w:rsidRDefault="00860F8E" w:rsidP="00500347">
            <w:pPr>
              <w:keepLines/>
              <w:spacing w:after="20"/>
              <w:jc w:val="center"/>
            </w:pPr>
            <w:r>
              <w:rPr>
                <w:noProof/>
              </w:rPr>
              <w:drawing>
                <wp:inline distT="0" distB="0" distL="0" distR="0" wp14:anchorId="407D44B2" wp14:editId="20C13F01">
                  <wp:extent cx="3017520" cy="142661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09-REF-003.jpg"/>
                          <pic:cNvPicPr/>
                        </pic:nvPicPr>
                        <pic:blipFill>
                          <a:blip r:embed="rId4"/>
                          <a:stretch>
                            <a:fillRect/>
                          </a:stretch>
                        </pic:blipFill>
                        <pic:spPr>
                          <a:xfrm>
                            <a:off x="0" y="0"/>
                            <a:ext cx="3017520" cy="1426616"/>
                          </a:xfrm>
                          <a:prstGeom prst="rect">
                            <a:avLst/>
                          </a:prstGeom>
                        </pic:spPr>
                      </pic:pic>
                    </a:graphicData>
                  </a:graphic>
                </wp:inline>
              </w:drawing>
            </w:r>
          </w:p>
          <w:p w14:paraId="2C24D845" w14:textId="77777777" w:rsidR="00860F8E" w:rsidRDefault="00860F8E" w:rsidP="00500347">
            <w:pPr>
              <w:keepLines/>
              <w:spacing w:after="0"/>
              <w:jc w:val="center"/>
            </w:pPr>
            <w:r>
              <w:rPr>
                <w:b/>
                <w:color w:val="404040"/>
                <w:sz w:val="15"/>
              </w:rPr>
              <w:t>CV09-REF-003 — principal still showing the cleaner/open local arrangement.</w:t>
            </w:r>
          </w:p>
        </w:tc>
        <w:tc>
          <w:tcPr>
            <w:tcW w:w="4876" w:type="dxa"/>
            <w:gridSpan w:val="2"/>
            <w:shd w:val="clear" w:color="auto" w:fill="FAFAFA"/>
            <w:tcMar>
              <w:top w:w="60" w:type="dxa"/>
              <w:left w:w="60" w:type="dxa"/>
              <w:bottom w:w="60" w:type="dxa"/>
              <w:right w:w="60" w:type="dxa"/>
            </w:tcMar>
          </w:tcPr>
          <w:p w14:paraId="1C899102" w14:textId="77777777" w:rsidR="00860F8E" w:rsidRDefault="00860F8E" w:rsidP="00500347">
            <w:pPr>
              <w:keepLines/>
              <w:spacing w:after="20"/>
              <w:jc w:val="center"/>
            </w:pPr>
            <w:r>
              <w:rPr>
                <w:noProof/>
              </w:rPr>
              <w:drawing>
                <wp:inline distT="0" distB="0" distL="0" distR="0" wp14:anchorId="309AC7C8" wp14:editId="3CEF02E5">
                  <wp:extent cx="3017520" cy="142661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09-REF-002.jpg"/>
                          <pic:cNvPicPr/>
                        </pic:nvPicPr>
                        <pic:blipFill>
                          <a:blip r:embed="rId5"/>
                          <a:stretch>
                            <a:fillRect/>
                          </a:stretch>
                        </pic:blipFill>
                        <pic:spPr>
                          <a:xfrm>
                            <a:off x="0" y="0"/>
                            <a:ext cx="3017520" cy="1426616"/>
                          </a:xfrm>
                          <a:prstGeom prst="rect">
                            <a:avLst/>
                          </a:prstGeom>
                        </pic:spPr>
                      </pic:pic>
                    </a:graphicData>
                  </a:graphic>
                </wp:inline>
              </w:drawing>
            </w:r>
          </w:p>
          <w:p w14:paraId="648CBE36" w14:textId="77777777" w:rsidR="00860F8E" w:rsidRDefault="00860F8E" w:rsidP="00500347">
            <w:pPr>
              <w:keepLines/>
              <w:spacing w:after="0"/>
              <w:jc w:val="center"/>
            </w:pPr>
            <w:r>
              <w:rPr>
                <w:b/>
                <w:color w:val="404040"/>
                <w:sz w:val="15"/>
              </w:rPr>
              <w:t>CV09-REF-002 — wet-fines/slurry consequence below the discharge/cleaner region.</w:t>
            </w:r>
          </w:p>
        </w:tc>
      </w:tr>
      <w:tr w:rsidR="00860F8E" w14:paraId="59B49562" w14:textId="77777777" w:rsidTr="00500347">
        <w:trPr>
          <w:cantSplit/>
          <w:jc w:val="center"/>
        </w:trPr>
        <w:tc>
          <w:tcPr>
            <w:tcW w:w="4876" w:type="dxa"/>
            <w:gridSpan w:val="2"/>
            <w:shd w:val="clear" w:color="auto" w:fill="FAFAFA"/>
            <w:tcMar>
              <w:top w:w="60" w:type="dxa"/>
              <w:left w:w="60" w:type="dxa"/>
              <w:bottom w:w="60" w:type="dxa"/>
              <w:right w:w="60" w:type="dxa"/>
            </w:tcMar>
          </w:tcPr>
          <w:p w14:paraId="2A63D3E2" w14:textId="77777777" w:rsidR="00860F8E" w:rsidRDefault="00860F8E" w:rsidP="00500347">
            <w:pPr>
              <w:keepLines/>
              <w:spacing w:after="20"/>
              <w:jc w:val="center"/>
            </w:pPr>
            <w:r>
              <w:rPr>
                <w:noProof/>
              </w:rPr>
              <w:drawing>
                <wp:inline distT="0" distB="0" distL="0" distR="0" wp14:anchorId="384EF0B8" wp14:editId="4775A167">
                  <wp:extent cx="3017520" cy="30175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09-REF-006_frame.jpg"/>
                          <pic:cNvPicPr/>
                        </pic:nvPicPr>
                        <pic:blipFill>
                          <a:blip r:embed="rId6"/>
                          <a:stretch>
                            <a:fillRect/>
                          </a:stretch>
                        </pic:blipFill>
                        <pic:spPr>
                          <a:xfrm>
                            <a:off x="0" y="0"/>
                            <a:ext cx="3017520" cy="3017520"/>
                          </a:xfrm>
                          <a:prstGeom prst="rect">
                            <a:avLst/>
                          </a:prstGeom>
                        </pic:spPr>
                      </pic:pic>
                    </a:graphicData>
                  </a:graphic>
                </wp:inline>
              </w:drawing>
            </w:r>
          </w:p>
          <w:p w14:paraId="52C45BA5" w14:textId="77777777" w:rsidR="00860F8E" w:rsidRDefault="00860F8E" w:rsidP="00500347">
            <w:pPr>
              <w:keepLines/>
              <w:spacing w:after="0"/>
              <w:jc w:val="center"/>
            </w:pPr>
            <w:r>
              <w:rPr>
                <w:b/>
                <w:color w:val="404040"/>
                <w:sz w:val="15"/>
              </w:rPr>
              <w:t>CV09-REF-006 — representative frame from inspection video showing active wet-material fallout during operation.</w:t>
            </w:r>
          </w:p>
        </w:tc>
        <w:tc>
          <w:tcPr>
            <w:tcW w:w="4876" w:type="dxa"/>
            <w:gridSpan w:val="2"/>
            <w:shd w:val="clear" w:color="auto" w:fill="FAFAFA"/>
            <w:tcMar>
              <w:top w:w="60" w:type="dxa"/>
              <w:left w:w="60" w:type="dxa"/>
              <w:bottom w:w="60" w:type="dxa"/>
              <w:right w:w="60" w:type="dxa"/>
            </w:tcMar>
          </w:tcPr>
          <w:p w14:paraId="51FC9AEA" w14:textId="77777777" w:rsidR="00860F8E" w:rsidRDefault="00860F8E" w:rsidP="00500347">
            <w:pPr>
              <w:keepLines/>
              <w:spacing w:after="20"/>
              <w:jc w:val="center"/>
            </w:pPr>
            <w:r>
              <w:rPr>
                <w:noProof/>
              </w:rPr>
              <w:drawing>
                <wp:inline distT="0" distB="0" distL="0" distR="0" wp14:anchorId="06BDCF1A" wp14:editId="3ABED463">
                  <wp:extent cx="3017520" cy="30175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09-REF-008_frame.jpg"/>
                          <pic:cNvPicPr/>
                        </pic:nvPicPr>
                        <pic:blipFill>
                          <a:blip r:embed="rId7"/>
                          <a:stretch>
                            <a:fillRect/>
                          </a:stretch>
                        </pic:blipFill>
                        <pic:spPr>
                          <a:xfrm rot="16200000">
                            <a:off x="0" y="0"/>
                            <a:ext cx="3017520" cy="3017520"/>
                          </a:xfrm>
                          <a:prstGeom prst="rect">
                            <a:avLst/>
                          </a:prstGeom>
                        </pic:spPr>
                      </pic:pic>
                    </a:graphicData>
                  </a:graphic>
                </wp:inline>
              </w:drawing>
            </w:r>
          </w:p>
          <w:p w14:paraId="62CFD1E8" w14:textId="77777777" w:rsidR="00860F8E" w:rsidRDefault="00860F8E" w:rsidP="00500347">
            <w:pPr>
              <w:keepLines/>
              <w:spacing w:after="0"/>
              <w:jc w:val="center"/>
            </w:pPr>
            <w:r>
              <w:rPr>
                <w:b/>
                <w:color w:val="404040"/>
                <w:sz w:val="15"/>
              </w:rPr>
              <w:t>CV09-REF-008 — representative frame from inspection video showing contaminated cleaner/chute geometry relevant to the containment-boundary issue and pilot concept.</w:t>
            </w:r>
          </w:p>
        </w:tc>
      </w:tr>
      <w:tr w:rsidR="00860F8E" w14:paraId="05C81723" w14:textId="77777777" w:rsidTr="0050034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7FD3C436" w14:textId="77777777" w:rsidR="00860F8E" w:rsidRDefault="00860F8E" w:rsidP="00500347">
            <w:pPr>
              <w:keepLines/>
            </w:pPr>
            <w:r>
              <w:rPr>
                <w:b/>
                <w:color w:val="365F91"/>
                <w:sz w:val="15"/>
              </w:rPr>
              <w:lastRenderedPageBreak/>
              <w:t>OBSERVATION</w:t>
            </w:r>
          </w:p>
        </w:tc>
        <w:tc>
          <w:tcPr>
            <w:tcW w:w="8208" w:type="dxa"/>
            <w:gridSpan w:val="2"/>
            <w:shd w:val="clear" w:color="auto" w:fill="E7E6E6"/>
            <w:tcMar>
              <w:top w:w="75" w:type="dxa"/>
              <w:left w:w="90" w:type="dxa"/>
              <w:bottom w:w="75" w:type="dxa"/>
              <w:right w:w="90" w:type="dxa"/>
            </w:tcMar>
          </w:tcPr>
          <w:p w14:paraId="7A1B563B" w14:textId="77777777" w:rsidR="00860F8E" w:rsidRDefault="00860F8E" w:rsidP="00500347">
            <w:pPr>
              <w:keepLines/>
            </w:pPr>
            <w:r>
              <w:rPr>
                <w:color w:val="262626"/>
                <w:sz w:val="17"/>
              </w:rPr>
              <w:t>Wet fines/slurry are present below CV09 and active wet-material fallout was recorded during operation.</w:t>
            </w:r>
          </w:p>
        </w:tc>
      </w:tr>
      <w:tr w:rsidR="00860F8E" w14:paraId="6D92ADBA" w14:textId="77777777" w:rsidTr="0050034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682C5D5F" w14:textId="77777777" w:rsidR="00860F8E" w:rsidRDefault="00860F8E" w:rsidP="00500347">
            <w:pPr>
              <w:keepLines/>
            </w:pPr>
            <w:r>
              <w:rPr>
                <w:b/>
                <w:color w:val="365F91"/>
                <w:sz w:val="15"/>
              </w:rPr>
              <w:t>ENGINEERING ASSESSMENT</w:t>
            </w:r>
          </w:p>
        </w:tc>
        <w:tc>
          <w:tcPr>
            <w:tcW w:w="8208" w:type="dxa"/>
            <w:gridSpan w:val="2"/>
            <w:shd w:val="clear" w:color="auto" w:fill="F5F8FB"/>
            <w:tcMar>
              <w:top w:w="75" w:type="dxa"/>
              <w:left w:w="90" w:type="dxa"/>
              <w:bottom w:w="75" w:type="dxa"/>
              <w:right w:w="90" w:type="dxa"/>
            </w:tcMar>
          </w:tcPr>
          <w:p w14:paraId="0907068B" w14:textId="77777777" w:rsidR="00860F8E" w:rsidRDefault="00860F8E" w:rsidP="00500347">
            <w:pPr>
              <w:keepLines/>
            </w:pPr>
            <w:r>
              <w:rPr>
                <w:color w:val="262626"/>
                <w:sz w:val="17"/>
              </w:rPr>
              <w:t>The existing cleaner can remove material from the belt, but its open/outside relationship to the effective head-chute containment allows successfully removed wet fines to become plant-area spillage. Residual carryback also remains possible downstream. Final OEM geometry and component detail remain open.</w:t>
            </w:r>
          </w:p>
        </w:tc>
      </w:tr>
      <w:tr w:rsidR="00860F8E" w14:paraId="55A5DB28" w14:textId="77777777" w:rsidTr="0050034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2F1FB15B" w14:textId="77777777" w:rsidR="00860F8E" w:rsidRDefault="00860F8E" w:rsidP="00500347">
            <w:pPr>
              <w:keepLines/>
            </w:pPr>
            <w:r>
              <w:rPr>
                <w:b/>
                <w:color w:val="365F91"/>
                <w:sz w:val="15"/>
              </w:rPr>
              <w:t>CONTROL PHILOSOPHY</w:t>
            </w:r>
          </w:p>
        </w:tc>
        <w:tc>
          <w:tcPr>
            <w:tcW w:w="8208" w:type="dxa"/>
            <w:gridSpan w:val="2"/>
            <w:shd w:val="clear" w:color="auto" w:fill="EEF3F8"/>
            <w:tcMar>
              <w:top w:w="75" w:type="dxa"/>
              <w:left w:w="90" w:type="dxa"/>
              <w:bottom w:w="75" w:type="dxa"/>
              <w:right w:w="90" w:type="dxa"/>
            </w:tcMar>
          </w:tcPr>
          <w:p w14:paraId="6DE3C267" w14:textId="77777777" w:rsidR="00860F8E" w:rsidRDefault="00860F8E" w:rsidP="00500347">
            <w:pPr>
              <w:keepLines/>
            </w:pPr>
            <w:r>
              <w:rPr>
                <w:color w:val="262626"/>
                <w:sz w:val="17"/>
              </w:rPr>
              <w:t>Do not merely clean the belt. Keep the fines inside the process.</w:t>
            </w:r>
          </w:p>
        </w:tc>
      </w:tr>
      <w:tr w:rsidR="00860F8E" w14:paraId="0300605B" w14:textId="77777777" w:rsidTr="0050034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C6E0B4"/>
            <w:tcMar>
              <w:top w:w="75" w:type="dxa"/>
              <w:left w:w="90" w:type="dxa"/>
              <w:bottom w:w="75" w:type="dxa"/>
              <w:right w:w="90" w:type="dxa"/>
            </w:tcMar>
          </w:tcPr>
          <w:p w14:paraId="56D5838B" w14:textId="77777777" w:rsidR="00860F8E" w:rsidRDefault="00860F8E" w:rsidP="00500347">
            <w:pPr>
              <w:keepLines/>
            </w:pPr>
            <w:r>
              <w:rPr>
                <w:b/>
                <w:color w:val="375623"/>
                <w:sz w:val="15"/>
              </w:rPr>
              <w:t>RECOMMENDED NEXT ACTION</w:t>
            </w:r>
          </w:p>
        </w:tc>
        <w:tc>
          <w:tcPr>
            <w:tcW w:w="8208" w:type="dxa"/>
            <w:gridSpan w:val="2"/>
            <w:shd w:val="clear" w:color="auto" w:fill="E2F0D9"/>
            <w:tcMar>
              <w:top w:w="75" w:type="dxa"/>
              <w:left w:w="90" w:type="dxa"/>
              <w:bottom w:w="75" w:type="dxa"/>
              <w:right w:w="90" w:type="dxa"/>
            </w:tcMar>
          </w:tcPr>
          <w:p w14:paraId="5824488E" w14:textId="77777777" w:rsidR="00860F8E" w:rsidRDefault="00860F8E" w:rsidP="00500347">
            <w:pPr>
              <w:keepLines/>
            </w:pPr>
            <w:r>
              <w:rPr>
                <w:color w:val="262626"/>
                <w:sz w:val="17"/>
              </w:rPr>
              <w:t>Develop and trial the locked CV09 functional concept from verified site geometry: pulley-supported cleaning inside the head/discharge chute, preferred two-stage cleaning where feasible, controlled self-tensioning/wear compensation, positive travel limitation, practical maintenance access, and representative operating verification.</w:t>
            </w:r>
          </w:p>
        </w:tc>
      </w:tr>
    </w:tbl>
    <w:p w14:paraId="6875D762" w14:textId="77777777" w:rsidR="00806EFC" w:rsidRPr="00860F8E" w:rsidRDefault="00806EFC" w:rsidP="00860F8E"/>
    <w:sectPr w:rsidR="00806EFC" w:rsidRPr="00860F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22C"/>
    <w:rsid w:val="00102867"/>
    <w:rsid w:val="002B32E2"/>
    <w:rsid w:val="00316E3C"/>
    <w:rsid w:val="004A20B5"/>
    <w:rsid w:val="004A5E07"/>
    <w:rsid w:val="00804A10"/>
    <w:rsid w:val="00806EFC"/>
    <w:rsid w:val="00860F8E"/>
    <w:rsid w:val="008709ED"/>
    <w:rsid w:val="00896023"/>
    <w:rsid w:val="008C5CD4"/>
    <w:rsid w:val="00911178"/>
    <w:rsid w:val="009601D8"/>
    <w:rsid w:val="00B5601A"/>
    <w:rsid w:val="00B57A56"/>
    <w:rsid w:val="00BE0D3C"/>
    <w:rsid w:val="00CC5CC1"/>
    <w:rsid w:val="00CE3924"/>
    <w:rsid w:val="00D26469"/>
    <w:rsid w:val="00F10F9F"/>
    <w:rsid w:val="00F4786C"/>
    <w:rsid w:val="00FB322C"/>
    <w:rsid w:val="00FE3A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898A1"/>
  <w15:chartTrackingRefBased/>
  <w15:docId w15:val="{7EA6DE48-FFC0-4548-ACB0-E6F5DD99D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22C"/>
    <w:pPr>
      <w:spacing w:after="200" w:line="276" w:lineRule="auto"/>
    </w:pPr>
    <w:rPr>
      <w:rFonts w:ascii="Arial" w:eastAsiaTheme="minorEastAsia" w:hAnsi="Arial"/>
      <w:color w:val="000000"/>
      <w:kern w:val="0"/>
      <w:sz w:val="19"/>
      <w:lang w:val="en-US"/>
      <w14:ligatures w14:val="none"/>
    </w:rPr>
  </w:style>
  <w:style w:type="paragraph" w:styleId="Heading1">
    <w:name w:val="heading 1"/>
    <w:basedOn w:val="Normal"/>
    <w:next w:val="Normal"/>
    <w:link w:val="Heading1Char"/>
    <w:uiPriority w:val="9"/>
    <w:qFormat/>
    <w:rsid w:val="00FB322C"/>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ZA"/>
      <w14:ligatures w14:val="standardContextual"/>
    </w:rPr>
  </w:style>
  <w:style w:type="paragraph" w:styleId="Heading2">
    <w:name w:val="heading 2"/>
    <w:basedOn w:val="Normal"/>
    <w:next w:val="Normal"/>
    <w:link w:val="Heading2Char"/>
    <w:uiPriority w:val="9"/>
    <w:unhideWhenUsed/>
    <w:qFormat/>
    <w:rsid w:val="00FB322C"/>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ZA"/>
      <w14:ligatures w14:val="standardContextual"/>
    </w:rPr>
  </w:style>
  <w:style w:type="paragraph" w:styleId="Heading3">
    <w:name w:val="heading 3"/>
    <w:basedOn w:val="Normal"/>
    <w:next w:val="Normal"/>
    <w:link w:val="Heading3Char"/>
    <w:uiPriority w:val="9"/>
    <w:semiHidden/>
    <w:unhideWhenUsed/>
    <w:qFormat/>
    <w:rsid w:val="00FB322C"/>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n-ZA"/>
      <w14:ligatures w14:val="standardContextual"/>
    </w:rPr>
  </w:style>
  <w:style w:type="paragraph" w:styleId="Heading4">
    <w:name w:val="heading 4"/>
    <w:basedOn w:val="Normal"/>
    <w:next w:val="Normal"/>
    <w:link w:val="Heading4Char"/>
    <w:uiPriority w:val="9"/>
    <w:semiHidden/>
    <w:unhideWhenUsed/>
    <w:qFormat/>
    <w:rsid w:val="00FB322C"/>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lang w:val="en-ZA"/>
      <w14:ligatures w14:val="standardContextual"/>
    </w:rPr>
  </w:style>
  <w:style w:type="paragraph" w:styleId="Heading5">
    <w:name w:val="heading 5"/>
    <w:basedOn w:val="Normal"/>
    <w:next w:val="Normal"/>
    <w:link w:val="Heading5Char"/>
    <w:uiPriority w:val="9"/>
    <w:semiHidden/>
    <w:unhideWhenUsed/>
    <w:qFormat/>
    <w:rsid w:val="00FB322C"/>
    <w:pPr>
      <w:keepNext/>
      <w:keepLines/>
      <w:spacing w:before="80" w:after="40" w:line="259" w:lineRule="auto"/>
      <w:outlineLvl w:val="4"/>
    </w:pPr>
    <w:rPr>
      <w:rFonts w:asciiTheme="minorHAnsi" w:eastAsiaTheme="majorEastAsia" w:hAnsiTheme="minorHAnsi" w:cstheme="majorBidi"/>
      <w:color w:val="2F5496" w:themeColor="accent1" w:themeShade="BF"/>
      <w:kern w:val="2"/>
      <w:sz w:val="22"/>
      <w:lang w:val="en-ZA"/>
      <w14:ligatures w14:val="standardContextual"/>
    </w:rPr>
  </w:style>
  <w:style w:type="paragraph" w:styleId="Heading6">
    <w:name w:val="heading 6"/>
    <w:basedOn w:val="Normal"/>
    <w:next w:val="Normal"/>
    <w:link w:val="Heading6Char"/>
    <w:uiPriority w:val="9"/>
    <w:semiHidden/>
    <w:unhideWhenUsed/>
    <w:qFormat/>
    <w:rsid w:val="00FB322C"/>
    <w:pPr>
      <w:keepNext/>
      <w:keepLines/>
      <w:spacing w:before="40" w:after="0" w:line="259" w:lineRule="auto"/>
      <w:outlineLvl w:val="5"/>
    </w:pPr>
    <w:rPr>
      <w:rFonts w:asciiTheme="minorHAnsi" w:eastAsiaTheme="majorEastAsia" w:hAnsiTheme="minorHAnsi" w:cstheme="majorBidi"/>
      <w:i/>
      <w:iCs/>
      <w:color w:val="595959" w:themeColor="text1" w:themeTint="A6"/>
      <w:kern w:val="2"/>
      <w:sz w:val="22"/>
      <w:lang w:val="en-ZA"/>
      <w14:ligatures w14:val="standardContextual"/>
    </w:rPr>
  </w:style>
  <w:style w:type="paragraph" w:styleId="Heading7">
    <w:name w:val="heading 7"/>
    <w:basedOn w:val="Normal"/>
    <w:next w:val="Normal"/>
    <w:link w:val="Heading7Char"/>
    <w:uiPriority w:val="9"/>
    <w:semiHidden/>
    <w:unhideWhenUsed/>
    <w:qFormat/>
    <w:rsid w:val="00FB322C"/>
    <w:pPr>
      <w:keepNext/>
      <w:keepLines/>
      <w:spacing w:before="40" w:after="0" w:line="259" w:lineRule="auto"/>
      <w:outlineLvl w:val="6"/>
    </w:pPr>
    <w:rPr>
      <w:rFonts w:asciiTheme="minorHAnsi" w:eastAsiaTheme="majorEastAsia" w:hAnsiTheme="minorHAnsi" w:cstheme="majorBidi"/>
      <w:color w:val="595959" w:themeColor="text1" w:themeTint="A6"/>
      <w:kern w:val="2"/>
      <w:sz w:val="22"/>
      <w:lang w:val="en-ZA"/>
      <w14:ligatures w14:val="standardContextual"/>
    </w:rPr>
  </w:style>
  <w:style w:type="paragraph" w:styleId="Heading8">
    <w:name w:val="heading 8"/>
    <w:basedOn w:val="Normal"/>
    <w:next w:val="Normal"/>
    <w:link w:val="Heading8Char"/>
    <w:uiPriority w:val="9"/>
    <w:semiHidden/>
    <w:unhideWhenUsed/>
    <w:qFormat/>
    <w:rsid w:val="00FB322C"/>
    <w:pPr>
      <w:keepNext/>
      <w:keepLines/>
      <w:spacing w:after="0" w:line="259" w:lineRule="auto"/>
      <w:outlineLvl w:val="7"/>
    </w:pPr>
    <w:rPr>
      <w:rFonts w:asciiTheme="minorHAnsi" w:eastAsiaTheme="majorEastAsia" w:hAnsiTheme="minorHAnsi" w:cstheme="majorBidi"/>
      <w:i/>
      <w:iCs/>
      <w:color w:val="272727" w:themeColor="text1" w:themeTint="D8"/>
      <w:kern w:val="2"/>
      <w:sz w:val="22"/>
      <w:lang w:val="en-ZA"/>
      <w14:ligatures w14:val="standardContextual"/>
    </w:rPr>
  </w:style>
  <w:style w:type="paragraph" w:styleId="Heading9">
    <w:name w:val="heading 9"/>
    <w:basedOn w:val="Normal"/>
    <w:next w:val="Normal"/>
    <w:link w:val="Heading9Char"/>
    <w:uiPriority w:val="9"/>
    <w:semiHidden/>
    <w:unhideWhenUsed/>
    <w:qFormat/>
    <w:rsid w:val="00FB322C"/>
    <w:pPr>
      <w:keepNext/>
      <w:keepLines/>
      <w:spacing w:after="0" w:line="259" w:lineRule="auto"/>
      <w:outlineLvl w:val="8"/>
    </w:pPr>
    <w:rPr>
      <w:rFonts w:asciiTheme="minorHAnsi" w:eastAsiaTheme="majorEastAsia" w:hAnsiTheme="minorHAnsi" w:cstheme="majorBidi"/>
      <w:color w:val="272727" w:themeColor="text1" w:themeTint="D8"/>
      <w:kern w:val="2"/>
      <w:sz w:val="22"/>
      <w:lang w:val="en-Z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2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B32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32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32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32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32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2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2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22C"/>
    <w:rPr>
      <w:rFonts w:eastAsiaTheme="majorEastAsia" w:cstheme="majorBidi"/>
      <w:color w:val="272727" w:themeColor="text1" w:themeTint="D8"/>
    </w:rPr>
  </w:style>
  <w:style w:type="paragraph" w:styleId="Title">
    <w:name w:val="Title"/>
    <w:basedOn w:val="Normal"/>
    <w:next w:val="Normal"/>
    <w:link w:val="TitleChar"/>
    <w:uiPriority w:val="10"/>
    <w:qFormat/>
    <w:rsid w:val="00FB322C"/>
    <w:pPr>
      <w:spacing w:after="80" w:line="240" w:lineRule="auto"/>
      <w:contextualSpacing/>
    </w:pPr>
    <w:rPr>
      <w:rFonts w:asciiTheme="majorHAnsi" w:eastAsiaTheme="majorEastAsia" w:hAnsiTheme="majorHAnsi" w:cstheme="majorBidi"/>
      <w:color w:val="auto"/>
      <w:spacing w:val="-10"/>
      <w:kern w:val="28"/>
      <w:sz w:val="56"/>
      <w:szCs w:val="56"/>
      <w:lang w:val="en-ZA"/>
      <w14:ligatures w14:val="standardContextual"/>
    </w:rPr>
  </w:style>
  <w:style w:type="character" w:customStyle="1" w:styleId="TitleChar">
    <w:name w:val="Title Char"/>
    <w:basedOn w:val="DefaultParagraphFont"/>
    <w:link w:val="Title"/>
    <w:uiPriority w:val="10"/>
    <w:rsid w:val="00FB32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22C"/>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ZA"/>
      <w14:ligatures w14:val="standardContextual"/>
    </w:rPr>
  </w:style>
  <w:style w:type="character" w:customStyle="1" w:styleId="SubtitleChar">
    <w:name w:val="Subtitle Char"/>
    <w:basedOn w:val="DefaultParagraphFont"/>
    <w:link w:val="Subtitle"/>
    <w:uiPriority w:val="11"/>
    <w:rsid w:val="00FB32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22C"/>
    <w:pPr>
      <w:spacing w:before="160" w:after="160" w:line="259" w:lineRule="auto"/>
      <w:jc w:val="center"/>
    </w:pPr>
    <w:rPr>
      <w:rFonts w:asciiTheme="minorHAnsi" w:eastAsiaTheme="minorHAnsi" w:hAnsiTheme="minorHAnsi"/>
      <w:i/>
      <w:iCs/>
      <w:color w:val="404040" w:themeColor="text1" w:themeTint="BF"/>
      <w:kern w:val="2"/>
      <w:sz w:val="22"/>
      <w:lang w:val="en-ZA"/>
      <w14:ligatures w14:val="standardContextual"/>
    </w:rPr>
  </w:style>
  <w:style w:type="character" w:customStyle="1" w:styleId="QuoteChar">
    <w:name w:val="Quote Char"/>
    <w:basedOn w:val="DefaultParagraphFont"/>
    <w:link w:val="Quote"/>
    <w:uiPriority w:val="29"/>
    <w:rsid w:val="00FB322C"/>
    <w:rPr>
      <w:i/>
      <w:iCs/>
      <w:color w:val="404040" w:themeColor="text1" w:themeTint="BF"/>
    </w:rPr>
  </w:style>
  <w:style w:type="paragraph" w:styleId="ListParagraph">
    <w:name w:val="List Paragraph"/>
    <w:basedOn w:val="Normal"/>
    <w:uiPriority w:val="34"/>
    <w:qFormat/>
    <w:rsid w:val="00FB322C"/>
    <w:pPr>
      <w:spacing w:after="160" w:line="259" w:lineRule="auto"/>
      <w:ind w:left="720"/>
      <w:contextualSpacing/>
    </w:pPr>
    <w:rPr>
      <w:rFonts w:asciiTheme="minorHAnsi" w:eastAsiaTheme="minorHAnsi" w:hAnsiTheme="minorHAnsi"/>
      <w:color w:val="auto"/>
      <w:kern w:val="2"/>
      <w:sz w:val="22"/>
      <w:lang w:val="en-ZA"/>
      <w14:ligatures w14:val="standardContextual"/>
    </w:rPr>
  </w:style>
  <w:style w:type="character" w:styleId="IntenseEmphasis">
    <w:name w:val="Intense Emphasis"/>
    <w:basedOn w:val="DefaultParagraphFont"/>
    <w:uiPriority w:val="21"/>
    <w:qFormat/>
    <w:rsid w:val="00FB322C"/>
    <w:rPr>
      <w:i/>
      <w:iCs/>
      <w:color w:val="2F5496" w:themeColor="accent1" w:themeShade="BF"/>
    </w:rPr>
  </w:style>
  <w:style w:type="paragraph" w:styleId="IntenseQuote">
    <w:name w:val="Intense Quote"/>
    <w:basedOn w:val="Normal"/>
    <w:next w:val="Normal"/>
    <w:link w:val="IntenseQuoteChar"/>
    <w:uiPriority w:val="30"/>
    <w:qFormat/>
    <w:rsid w:val="00FB322C"/>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i/>
      <w:iCs/>
      <w:color w:val="2F5496" w:themeColor="accent1" w:themeShade="BF"/>
      <w:kern w:val="2"/>
      <w:sz w:val="22"/>
      <w:lang w:val="en-ZA"/>
      <w14:ligatures w14:val="standardContextual"/>
    </w:rPr>
  </w:style>
  <w:style w:type="character" w:customStyle="1" w:styleId="IntenseQuoteChar">
    <w:name w:val="Intense Quote Char"/>
    <w:basedOn w:val="DefaultParagraphFont"/>
    <w:link w:val="IntenseQuote"/>
    <w:uiPriority w:val="30"/>
    <w:rsid w:val="00FB322C"/>
    <w:rPr>
      <w:i/>
      <w:iCs/>
      <w:color w:val="2F5496" w:themeColor="accent1" w:themeShade="BF"/>
    </w:rPr>
  </w:style>
  <w:style w:type="character" w:styleId="IntenseReference">
    <w:name w:val="Intense Reference"/>
    <w:basedOn w:val="DefaultParagraphFont"/>
    <w:uiPriority w:val="32"/>
    <w:qFormat/>
    <w:rsid w:val="00FB322C"/>
    <w:rPr>
      <w:b/>
      <w:bCs/>
      <w:smallCaps/>
      <w:color w:val="2F5496" w:themeColor="accent1" w:themeShade="BF"/>
      <w:spacing w:val="5"/>
    </w:rPr>
  </w:style>
  <w:style w:type="paragraph" w:styleId="BodyText">
    <w:name w:val="Body Text"/>
    <w:basedOn w:val="Normal"/>
    <w:link w:val="BodyTextChar"/>
    <w:uiPriority w:val="99"/>
    <w:unhideWhenUsed/>
    <w:rsid w:val="00FB322C"/>
    <w:pPr>
      <w:spacing w:after="120"/>
    </w:pPr>
  </w:style>
  <w:style w:type="character" w:customStyle="1" w:styleId="BodyTextChar">
    <w:name w:val="Body Text Char"/>
    <w:basedOn w:val="DefaultParagraphFont"/>
    <w:link w:val="BodyText"/>
    <w:uiPriority w:val="99"/>
    <w:rsid w:val="00FB322C"/>
    <w:rPr>
      <w:rFonts w:ascii="Arial" w:eastAsiaTheme="minorEastAsia" w:hAnsi="Arial"/>
      <w:color w:val="000000"/>
      <w:kern w:val="0"/>
      <w:sz w:val="19"/>
      <w:lang w:val="en-US"/>
      <w14:ligatures w14:val="none"/>
    </w:rPr>
  </w:style>
  <w:style w:type="paragraph" w:styleId="NormalWeb">
    <w:name w:val="Normal (Web)"/>
    <w:basedOn w:val="Normal"/>
    <w:uiPriority w:val="99"/>
    <w:unhideWhenUsed/>
    <w:rsid w:val="008C5CD4"/>
    <w:pPr>
      <w:spacing w:before="100" w:beforeAutospacing="1" w:after="100" w:afterAutospacing="1" w:line="240" w:lineRule="auto"/>
    </w:pPr>
    <w:rPr>
      <w:rFonts w:ascii="Times New Roman" w:eastAsia="Times New Roman" w:hAnsi="Times New Roman" w:cs="Times New Roman"/>
      <w:color w:val="auto"/>
      <w:sz w:val="24"/>
      <w:szCs w:val="24"/>
      <w:lang w:val="en-ZA"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441</Words>
  <Characters>2514</Characters>
  <Application>Microsoft Office Word</Application>
  <DocSecurity>0</DocSecurity>
  <Lines>20</Lines>
  <Paragraphs>5</Paragraphs>
  <ScaleCrop>false</ScaleCrop>
  <Company/>
  <LinksUpToDate>false</LinksUpToDate>
  <CharactersWithSpaces>2950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Wood</dc:creator>
  <cp:keywords/>
  <dc:description/>
  <cp:lastModifiedBy>Brendan Wood</cp:lastModifiedBy>
  <cp:revision>5</cp:revision>
  <dcterms:created xsi:type="dcterms:W3CDTF">2026-08-30T10:09:00Z</dcterms:created>
  <dcterms:modified xsi:type="dcterms:W3CDTF">2026-08-30T10:16:00Z</dcterms:modified>
</cp:coreProperties>
</file>