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B0A6" w14:textId="77777777" w:rsidR="000F79D0" w:rsidRDefault="000F79D0" w:rsidP="000F79D0">
      <w:pPr>
        <w:pStyle w:val="Heading1"/>
      </w:pPr>
      <w:r>
        <w:rPr>
          <w:rFonts w:ascii="Arial" w:hAnsi="Arial"/>
        </w:rPr>
        <w:t xml:space="preserve">16 L3 — </w:t>
      </w:r>
      <w:r w:rsidRPr="00E85EB2">
        <w:rPr>
          <w:rFonts w:ascii="Arial" w:hAnsi="Arial"/>
        </w:rPr>
        <w:t>Alignment Concern and Separate Fines Accumulation</w:t>
      </w:r>
    </w:p>
    <w:p w14:paraId="5C609A7B" w14:textId="77777777" w:rsidR="000F79D0" w:rsidRDefault="000F79D0" w:rsidP="000F79D0">
      <w:pPr>
        <w:pStyle w:val="BodyText"/>
        <w:spacing w:after="80" w:line="252" w:lineRule="auto"/>
      </w:pPr>
      <w:r>
        <w:t>L3 presents a different evidence relationship from that observed at U4. At the tail end, the available photograph shows an asymmetric belt/pulley relationship that is consistent with an alignment or tracking concern. The magnitude of this condition has not been measured and should therefore be confirmed through dimensional checks and representative operating observation.</w:t>
      </w:r>
    </w:p>
    <w:p w14:paraId="01135A26" w14:textId="77777777" w:rsidR="000F79D0" w:rsidRDefault="000F79D0" w:rsidP="000F79D0">
      <w:pPr>
        <w:pStyle w:val="BodyText"/>
        <w:spacing w:after="80" w:line="252" w:lineRule="auto"/>
      </w:pPr>
      <w:r>
        <w:t>Fines and material accumulation are also visible at several locations around the L3 conveyor and supporting structure. These deposits establish a separate material-loss condition; however, the available evidence does not show that the tail-end alignment condition is responsible for the observed fines accumulation or for significant coarse-product loss. The two conditions should therefore be assessed separately, with the alignment/tracking relationship quantified first and the fines condition then reassessed in the context of the verified operating condition.</w:t>
      </w:r>
    </w:p>
    <w:tbl>
      <w:tblPr>
        <w:tblW w:w="9752"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876"/>
        <w:gridCol w:w="4876"/>
      </w:tblGrid>
      <w:tr w:rsidR="000F79D0" w14:paraId="5584513F" w14:textId="77777777" w:rsidTr="00F040F3">
        <w:trPr>
          <w:cantSplit/>
          <w:jc w:val="center"/>
        </w:trPr>
        <w:tc>
          <w:tcPr>
            <w:tcW w:w="9752" w:type="dxa"/>
            <w:gridSpan w:val="2"/>
            <w:shd w:val="clear" w:color="auto" w:fill="FAFAFA"/>
            <w:tcMar>
              <w:top w:w="60" w:type="dxa"/>
              <w:left w:w="60" w:type="dxa"/>
              <w:bottom w:w="60" w:type="dxa"/>
              <w:right w:w="60" w:type="dxa"/>
            </w:tcMar>
          </w:tcPr>
          <w:p w14:paraId="5E7601C6" w14:textId="77777777" w:rsidR="000F79D0" w:rsidRDefault="000F79D0" w:rsidP="00D94087">
            <w:pPr>
              <w:keepLines/>
              <w:spacing w:after="20"/>
              <w:jc w:val="center"/>
            </w:pPr>
            <w:r>
              <w:rPr>
                <w:noProof/>
                <w:lang w:val="en-ZA"/>
              </w:rPr>
              <mc:AlternateContent>
                <mc:Choice Requires="wps">
                  <w:drawing>
                    <wp:anchor distT="0" distB="0" distL="114300" distR="114300" simplePos="0" relativeHeight="251662336" behindDoc="0" locked="0" layoutInCell="1" allowOverlap="1" wp14:anchorId="49CBADAB" wp14:editId="25D24D31">
                      <wp:simplePos x="0" y="0"/>
                      <wp:positionH relativeFrom="column">
                        <wp:posOffset>2129335</wp:posOffset>
                      </wp:positionH>
                      <wp:positionV relativeFrom="paragraph">
                        <wp:posOffset>141245</wp:posOffset>
                      </wp:positionV>
                      <wp:extent cx="136478" cy="661916"/>
                      <wp:effectExtent l="57150" t="19050" r="73660" b="81280"/>
                      <wp:wrapNone/>
                      <wp:docPr id="2137057222" name="Straight Connector 16"/>
                      <wp:cNvGraphicFramePr/>
                      <a:graphic xmlns:a="http://schemas.openxmlformats.org/drawingml/2006/main">
                        <a:graphicData uri="http://schemas.microsoft.com/office/word/2010/wordprocessingShape">
                          <wps:wsp>
                            <wps:cNvCnPr/>
                            <wps:spPr>
                              <a:xfrm flipH="1">
                                <a:off x="0" y="0"/>
                                <a:ext cx="136478" cy="661916"/>
                              </a:xfrm>
                              <a:prstGeom prst="line">
                                <a:avLst/>
                              </a:prstGeom>
                              <a:ln>
                                <a:solidFill>
                                  <a:schemeClr val="accent6"/>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F9F5721" id="Straight Connector 16"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67.65pt,11.1pt" to="178.4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" strokecolor="#70ad47 [3209]" strokeweight="1pt">
                      <v:stroke joinstyle="miter"/>
                    </v:line>
                  </w:pict>
                </mc:Fallback>
              </mc:AlternateContent>
            </w:r>
            <w:r>
              <w:rPr>
                <w:noProof/>
                <w:lang w:val="en-ZA"/>
              </w:rPr>
              <mc:AlternateContent>
                <mc:Choice Requires="wps">
                  <w:drawing>
                    <wp:anchor distT="0" distB="0" distL="114300" distR="114300" simplePos="0" relativeHeight="251661312" behindDoc="0" locked="0" layoutInCell="1" allowOverlap="1" wp14:anchorId="0FE82300" wp14:editId="57937471">
                      <wp:simplePos x="0" y="0"/>
                      <wp:positionH relativeFrom="column">
                        <wp:posOffset>3619500</wp:posOffset>
                      </wp:positionH>
                      <wp:positionV relativeFrom="paragraph">
                        <wp:posOffset>257250</wp:posOffset>
                      </wp:positionV>
                      <wp:extent cx="409556" cy="264217"/>
                      <wp:effectExtent l="57150" t="19050" r="67310" b="97790"/>
                      <wp:wrapNone/>
                      <wp:docPr id="582366933" name="Straight Arrow Connector 8"/>
                      <wp:cNvGraphicFramePr/>
                      <a:graphic xmlns:a="http://schemas.openxmlformats.org/drawingml/2006/main">
                        <a:graphicData uri="http://schemas.microsoft.com/office/word/2010/wordprocessingShape">
                          <wps:wsp>
                            <wps:cNvCnPr/>
                            <wps:spPr>
                              <a:xfrm flipH="1">
                                <a:off x="0" y="0"/>
                                <a:ext cx="409556" cy="26421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C325FE" id="_x0000_t32" coordsize="21600,21600" o:spt="32" o:oned="t" path="m,l21600,21600e" filled="f">
                      <v:path arrowok="t" fillok="f" o:connecttype="none"/>
                      <o:lock v:ext="edit" shapetype="t"/>
                    </v:shapetype>
                    <v:shape id="Straight Arrow Connector 8" o:spid="_x0000_s1026" type="#_x0000_t32" style="position:absolute;margin-left:285pt;margin-top:20.25pt;width:32.25pt;height:20.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" strokecolor="#c00000" strokeweight="1pt">
                      <v:stroke endarrow="block" joinstyle="miter"/>
                    </v:shape>
                  </w:pict>
                </mc:Fallback>
              </mc:AlternateContent>
            </w:r>
            <w:r>
              <w:rPr>
                <w:noProof/>
              </w:rPr>
              <w:drawing>
                <wp:inline distT="0" distB="0" distL="0" distR="0" wp14:anchorId="4EE6EACB" wp14:editId="0BCA3C20">
                  <wp:extent cx="5363570" cy="2535776"/>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1.jpg"/>
                          <pic:cNvPicPr/>
                        </pic:nvPicPr>
                        <pic:blipFill>
                          <a:blip r:embed="rId5"/>
                          <a:stretch>
                            <a:fillRect/>
                          </a:stretch>
                        </pic:blipFill>
                        <pic:spPr>
                          <a:xfrm>
                            <a:off x="0" y="0"/>
                            <a:ext cx="5395626" cy="2550931"/>
                          </a:xfrm>
                          <a:prstGeom prst="rect">
                            <a:avLst/>
                          </a:prstGeom>
                        </pic:spPr>
                      </pic:pic>
                    </a:graphicData>
                  </a:graphic>
                </wp:inline>
              </w:drawing>
            </w:r>
          </w:p>
          <w:p w14:paraId="702EFBF1" w14:textId="77777777" w:rsidR="000F79D0" w:rsidRDefault="000F79D0" w:rsidP="00D94087">
            <w:pPr>
              <w:keepLines/>
              <w:spacing w:after="0"/>
              <w:jc w:val="center"/>
            </w:pPr>
            <w:r w:rsidRPr="00025069">
              <w:rPr>
                <w:b/>
                <w:color w:val="404040"/>
                <w:sz w:val="15"/>
              </w:rPr>
              <w:t>LoadoutStationL3-REF-001 — Tail-end view showing an asymmetric belt/pulley relationship consistent with an alignment or tracking concern. The magnitude of the condition remains unmeasured</w:t>
            </w:r>
            <w:r>
              <w:rPr>
                <w:b/>
                <w:color w:val="404040"/>
                <w:sz w:val="15"/>
              </w:rPr>
              <w:t>.</w:t>
            </w:r>
          </w:p>
        </w:tc>
      </w:tr>
      <w:tr w:rsidR="000F79D0" w14:paraId="5BFB456F" w14:textId="77777777" w:rsidTr="00F040F3">
        <w:trPr>
          <w:cantSplit/>
          <w:jc w:val="center"/>
        </w:trPr>
        <w:tc>
          <w:tcPr>
            <w:tcW w:w="4876" w:type="dxa"/>
            <w:shd w:val="clear" w:color="auto" w:fill="FAFAFA"/>
            <w:tcMar>
              <w:top w:w="60" w:type="dxa"/>
              <w:left w:w="60" w:type="dxa"/>
              <w:bottom w:w="60" w:type="dxa"/>
              <w:right w:w="60" w:type="dxa"/>
            </w:tcMar>
          </w:tcPr>
          <w:p w14:paraId="502DD21A" w14:textId="77777777" w:rsidR="000F79D0" w:rsidRPr="00025069" w:rsidRDefault="000F79D0" w:rsidP="00D94087">
            <w:pPr>
              <w:keepLines/>
              <w:spacing w:after="20"/>
              <w:jc w:val="center"/>
              <w:rPr>
                <w:color w:val="404040"/>
                <w:sz w:val="15"/>
              </w:rPr>
            </w:pPr>
            <w:r>
              <w:rPr>
                <w:noProof/>
                <w:lang w:val="en-ZA"/>
              </w:rPr>
              <w:lastRenderedPageBreak/>
              <mc:AlternateContent>
                <mc:Choice Requires="wps">
                  <w:drawing>
                    <wp:anchor distT="0" distB="0" distL="114300" distR="114300" simplePos="0" relativeHeight="251659264" behindDoc="0" locked="0" layoutInCell="1" allowOverlap="1" wp14:anchorId="68714AF3" wp14:editId="5D553660">
                      <wp:simplePos x="0" y="0"/>
                      <wp:positionH relativeFrom="column">
                        <wp:posOffset>1351726</wp:posOffset>
                      </wp:positionH>
                      <wp:positionV relativeFrom="paragraph">
                        <wp:posOffset>1066279</wp:posOffset>
                      </wp:positionV>
                      <wp:extent cx="207276" cy="204707"/>
                      <wp:effectExtent l="38100" t="19050" r="78740" b="100330"/>
                      <wp:wrapNone/>
                      <wp:docPr id="133003437"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BFDFB" id="Straight Arrow Connector 8" o:spid="_x0000_s1026" type="#_x0000_t32" style="position:absolute;margin-left:106.45pt;margin-top:83.95pt;width:16.3pt;height:1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" strokecolor="#c00000" strokeweight="1pt">
                      <v:stroke endarrow="block" joinstyle="miter"/>
                    </v:shape>
                  </w:pict>
                </mc:Fallback>
              </mc:AlternateContent>
            </w:r>
            <w:r w:rsidRPr="00025069">
              <w:rPr>
                <w:color w:val="404040"/>
                <w:sz w:val="15"/>
              </w:rPr>
              <w:drawing>
                <wp:inline distT="0" distB="0" distL="0" distR="0" wp14:anchorId="2913E282" wp14:editId="603B1DA2">
                  <wp:extent cx="3768823" cy="1786196"/>
                  <wp:effectExtent l="953" t="0" r="4127" b="4128"/>
                  <wp:docPr id="917349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3801703" cy="1801779"/>
                          </a:xfrm>
                          <a:prstGeom prst="rect">
                            <a:avLst/>
                          </a:prstGeom>
                          <a:noFill/>
                          <a:ln>
                            <a:noFill/>
                          </a:ln>
                        </pic:spPr>
                      </pic:pic>
                    </a:graphicData>
                  </a:graphic>
                </wp:inline>
              </w:drawing>
            </w:r>
          </w:p>
          <w:p w14:paraId="08E1FEB9" w14:textId="7197D4BB" w:rsidR="000F79D0" w:rsidRPr="00025069" w:rsidRDefault="000F79D0" w:rsidP="00D94087">
            <w:pPr>
              <w:keepLines/>
              <w:spacing w:after="20"/>
              <w:jc w:val="center"/>
              <w:rPr>
                <w:color w:val="404040"/>
                <w:sz w:val="15"/>
              </w:rPr>
            </w:pPr>
            <w:r w:rsidRPr="00025069">
              <w:rPr>
                <w:color w:val="404040"/>
                <w:sz w:val="15"/>
              </w:rPr>
              <w:t>LoadoutStationL3-REF-004 — Additional view showing fines/material distributed around the local conveyor and support area. The photograph provides consequence context but does not establish the initiating source</w:t>
            </w:r>
            <w:r w:rsidR="00F040F3">
              <w:rPr>
                <w:color w:val="404040"/>
                <w:sz w:val="15"/>
              </w:rPr>
              <w:t>.</w:t>
            </w:r>
          </w:p>
        </w:tc>
        <w:tc>
          <w:tcPr>
            <w:tcW w:w="4876" w:type="dxa"/>
            <w:shd w:val="clear" w:color="auto" w:fill="FAFAFA"/>
            <w:tcMar>
              <w:top w:w="60" w:type="dxa"/>
              <w:left w:w="60" w:type="dxa"/>
              <w:bottom w:w="60" w:type="dxa"/>
              <w:right w:w="60" w:type="dxa"/>
            </w:tcMar>
          </w:tcPr>
          <w:p w14:paraId="60F5B96D" w14:textId="77777777" w:rsidR="000F79D0" w:rsidRDefault="000F79D0" w:rsidP="00D94087">
            <w:pPr>
              <w:keepLines/>
              <w:spacing w:after="20"/>
              <w:jc w:val="center"/>
              <w:rPr>
                <w:noProof/>
              </w:rPr>
            </w:pPr>
            <w:r>
              <w:rPr>
                <w:noProof/>
                <w:lang w:val="en-ZA"/>
              </w:rPr>
              <mc:AlternateContent>
                <mc:Choice Requires="wps">
                  <w:drawing>
                    <wp:anchor distT="0" distB="0" distL="114300" distR="114300" simplePos="0" relativeHeight="251660288" behindDoc="0" locked="0" layoutInCell="1" allowOverlap="1" wp14:anchorId="4D086630" wp14:editId="56450E56">
                      <wp:simplePos x="0" y="0"/>
                      <wp:positionH relativeFrom="column">
                        <wp:posOffset>1128319</wp:posOffset>
                      </wp:positionH>
                      <wp:positionV relativeFrom="paragraph">
                        <wp:posOffset>2210520</wp:posOffset>
                      </wp:positionV>
                      <wp:extent cx="207276" cy="204707"/>
                      <wp:effectExtent l="38100" t="19050" r="78740" b="100330"/>
                      <wp:wrapNone/>
                      <wp:docPr id="1002273212" name="Straight Arrow Connector 8"/>
                      <wp:cNvGraphicFramePr/>
                      <a:graphic xmlns:a="http://schemas.openxmlformats.org/drawingml/2006/main">
                        <a:graphicData uri="http://schemas.microsoft.com/office/word/2010/wordprocessingShape">
                          <wps:wsp>
                            <wps:cNvCnPr/>
                            <wps:spPr>
                              <a:xfrm>
                                <a:off x="0" y="0"/>
                                <a:ext cx="207276" cy="20470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DF3CE" id="Straight Arrow Connector 8" o:spid="_x0000_s1026" type="#_x0000_t32" style="position:absolute;margin-left:88.85pt;margin-top:174.05pt;width:16.3pt;height:1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" strokecolor="#c00000" strokeweight="1pt">
                      <v:stroke endarrow="block" joinstyle="miter"/>
                    </v:shape>
                  </w:pict>
                </mc:Fallback>
              </mc:AlternateContent>
            </w:r>
            <w:r>
              <w:rPr>
                <w:noProof/>
              </w:rPr>
              <w:drawing>
                <wp:inline distT="0" distB="0" distL="0" distR="0" wp14:anchorId="3243DD59" wp14:editId="51FFDFD7">
                  <wp:extent cx="1781033" cy="3767454"/>
                  <wp:effectExtent l="0" t="0" r="0" b="5080"/>
                  <wp:docPr id="9787442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6586" cy="3800354"/>
                          </a:xfrm>
                          <a:prstGeom prst="rect">
                            <a:avLst/>
                          </a:prstGeom>
                          <a:noFill/>
                        </pic:spPr>
                      </pic:pic>
                    </a:graphicData>
                  </a:graphic>
                </wp:inline>
              </w:drawing>
            </w:r>
          </w:p>
          <w:p w14:paraId="4DD7699B" w14:textId="77777777" w:rsidR="000F79D0" w:rsidRDefault="000F79D0" w:rsidP="00D94087">
            <w:pPr>
              <w:keepLines/>
              <w:spacing w:after="20"/>
              <w:jc w:val="center"/>
              <w:rPr>
                <w:noProof/>
              </w:rPr>
            </w:pPr>
            <w:r w:rsidRPr="00025069">
              <w:rPr>
                <w:color w:val="404040"/>
                <w:sz w:val="15"/>
              </w:rPr>
              <w:t>LoadoutStationL3-REF-007 — Close view showing substantial fine-material accumulation on the guarding and adjacent structure at L3.</w:t>
            </w:r>
          </w:p>
        </w:tc>
      </w:tr>
      <w:tr w:rsidR="000F79D0" w14:paraId="623EA1D7" w14:textId="77777777" w:rsidTr="00F040F3">
        <w:trPr>
          <w:cantSplit/>
          <w:jc w:val="center"/>
        </w:trPr>
        <w:tc>
          <w:tcPr>
            <w:tcW w:w="4876" w:type="dxa"/>
            <w:shd w:val="clear" w:color="auto" w:fill="FAFAFA"/>
            <w:tcMar>
              <w:top w:w="60" w:type="dxa"/>
              <w:left w:w="60" w:type="dxa"/>
              <w:bottom w:w="60" w:type="dxa"/>
              <w:right w:w="60" w:type="dxa"/>
            </w:tcMar>
          </w:tcPr>
          <w:p w14:paraId="51A3A344" w14:textId="77777777" w:rsidR="000F79D0" w:rsidRDefault="000F79D0" w:rsidP="00D94087">
            <w:pPr>
              <w:keepLines/>
              <w:spacing w:after="20"/>
              <w:jc w:val="center"/>
              <w:rPr>
                <w:noProof/>
              </w:rPr>
            </w:pPr>
            <w:r>
              <w:rPr>
                <w:noProof/>
              </w:rPr>
              <w:drawing>
                <wp:inline distT="0" distB="0" distL="0" distR="0" wp14:anchorId="49457462" wp14:editId="109F800B">
                  <wp:extent cx="3020060" cy="1429385"/>
                  <wp:effectExtent l="0" t="4763" r="4128" b="4127"/>
                  <wp:docPr id="18462388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020060" cy="1429385"/>
                          </a:xfrm>
                          <a:prstGeom prst="rect">
                            <a:avLst/>
                          </a:prstGeom>
                          <a:noFill/>
                          <a:ln>
                            <a:noFill/>
                          </a:ln>
                        </pic:spPr>
                      </pic:pic>
                    </a:graphicData>
                  </a:graphic>
                </wp:inline>
              </w:drawing>
            </w:r>
          </w:p>
          <w:p w14:paraId="0DBB4FC8" w14:textId="1C4C6E79" w:rsidR="000F79D0" w:rsidRDefault="00F040F3" w:rsidP="00D94087">
            <w:pPr>
              <w:keepLines/>
              <w:spacing w:after="20"/>
              <w:jc w:val="center"/>
              <w:rPr>
                <w:noProof/>
              </w:rPr>
            </w:pPr>
            <w:r w:rsidRPr="00F040F3">
              <w:rPr>
                <w:color w:val="404040"/>
                <w:sz w:val="15"/>
              </w:rPr>
              <w:t>LoadoutStationL3-REF-002 — Fines/material accumulation around the L3 conveyor and guarding area, illustrating the separate fines-accumulation condition.</w:t>
            </w:r>
          </w:p>
        </w:tc>
        <w:tc>
          <w:tcPr>
            <w:tcW w:w="4876" w:type="dxa"/>
            <w:shd w:val="clear" w:color="auto" w:fill="FAFAFA"/>
            <w:tcMar>
              <w:top w:w="60" w:type="dxa"/>
              <w:left w:w="60" w:type="dxa"/>
              <w:bottom w:w="60" w:type="dxa"/>
              <w:right w:w="60" w:type="dxa"/>
            </w:tcMar>
          </w:tcPr>
          <w:p w14:paraId="65F06A98" w14:textId="77777777" w:rsidR="000F79D0" w:rsidRDefault="000F79D0" w:rsidP="00D94087">
            <w:pPr>
              <w:keepLines/>
              <w:spacing w:after="20"/>
              <w:jc w:val="center"/>
              <w:rPr>
                <w:noProof/>
              </w:rPr>
            </w:pPr>
            <w:r>
              <w:rPr>
                <w:noProof/>
              </w:rPr>
              <w:drawing>
                <wp:inline distT="0" distB="0" distL="0" distR="0" wp14:anchorId="64DA1722" wp14:editId="606EAAE8">
                  <wp:extent cx="2954655" cy="1398905"/>
                  <wp:effectExtent l="0" t="3175" r="0" b="0"/>
                  <wp:docPr id="1258924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954655" cy="1398905"/>
                          </a:xfrm>
                          <a:prstGeom prst="rect">
                            <a:avLst/>
                          </a:prstGeom>
                          <a:noFill/>
                          <a:ln>
                            <a:noFill/>
                          </a:ln>
                        </pic:spPr>
                      </pic:pic>
                    </a:graphicData>
                  </a:graphic>
                </wp:inline>
              </w:drawing>
            </w:r>
          </w:p>
          <w:p w14:paraId="5336393C" w14:textId="3B36C67D" w:rsidR="000F79D0" w:rsidRDefault="000F79D0" w:rsidP="00D94087">
            <w:pPr>
              <w:keepLines/>
              <w:spacing w:after="20"/>
              <w:jc w:val="center"/>
              <w:rPr>
                <w:noProof/>
              </w:rPr>
            </w:pPr>
            <w:r w:rsidRPr="00025069">
              <w:rPr>
                <w:color w:val="404040"/>
                <w:sz w:val="15"/>
              </w:rPr>
              <w:t>LoadoutStationL3-REF-008 — Supporting lower-area view showing fines and small-fragment accumulation beneath the conveyor</w:t>
            </w:r>
            <w:r w:rsidR="00F040F3">
              <w:rPr>
                <w:color w:val="404040"/>
                <w:sz w:val="15"/>
              </w:rPr>
              <w:t>.</w:t>
            </w:r>
          </w:p>
        </w:tc>
      </w:tr>
    </w:tbl>
    <w:p w14:paraId="57112670" w14:textId="63DE99B1" w:rsidR="00144968" w:rsidRPr="000F79D0" w:rsidRDefault="00144968" w:rsidP="000F79D0"/>
    <w:sectPr w:rsidR="00144968" w:rsidRPr="000F7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DC55E6"/>
    <w:multiLevelType w:val="hybridMultilevel"/>
    <w:tmpl w:val="F884AB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2"/>
  </w:num>
  <w:num w:numId="3" w16cid:durableId="2073845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4F6A"/>
    <w:rsid w:val="00017F40"/>
    <w:rsid w:val="00065192"/>
    <w:rsid w:val="000F79D0"/>
    <w:rsid w:val="00102867"/>
    <w:rsid w:val="00144968"/>
    <w:rsid w:val="002B32E2"/>
    <w:rsid w:val="00315147"/>
    <w:rsid w:val="00316E3C"/>
    <w:rsid w:val="00353132"/>
    <w:rsid w:val="00356D42"/>
    <w:rsid w:val="003E789F"/>
    <w:rsid w:val="0048434E"/>
    <w:rsid w:val="004A20B5"/>
    <w:rsid w:val="00804A10"/>
    <w:rsid w:val="00806EFC"/>
    <w:rsid w:val="00847620"/>
    <w:rsid w:val="008709ED"/>
    <w:rsid w:val="00896023"/>
    <w:rsid w:val="008A7319"/>
    <w:rsid w:val="008C5CD4"/>
    <w:rsid w:val="00911178"/>
    <w:rsid w:val="00934213"/>
    <w:rsid w:val="009601D8"/>
    <w:rsid w:val="009B3C7C"/>
    <w:rsid w:val="00A0142B"/>
    <w:rsid w:val="00A06C7D"/>
    <w:rsid w:val="00A61CD4"/>
    <w:rsid w:val="00A957F9"/>
    <w:rsid w:val="00AC6578"/>
    <w:rsid w:val="00B57A56"/>
    <w:rsid w:val="00B74D21"/>
    <w:rsid w:val="00C511C4"/>
    <w:rsid w:val="00C54407"/>
    <w:rsid w:val="00C55E25"/>
    <w:rsid w:val="00C67E87"/>
    <w:rsid w:val="00CC5CC1"/>
    <w:rsid w:val="00CE3924"/>
    <w:rsid w:val="00D26469"/>
    <w:rsid w:val="00D47526"/>
    <w:rsid w:val="00D65718"/>
    <w:rsid w:val="00EF6549"/>
    <w:rsid w:val="00F040F3"/>
    <w:rsid w:val="00F10F9F"/>
    <w:rsid w:val="00F22CF3"/>
    <w:rsid w:val="00F30C86"/>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 w:type="table" w:styleId="TableGrid">
    <w:name w:val="Table Grid"/>
    <w:basedOn w:val="TableNormal"/>
    <w:uiPriority w:val="59"/>
    <w:rsid w:val="00EF654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4</cp:revision>
  <dcterms:created xsi:type="dcterms:W3CDTF">2026-08-31T04:18:00Z</dcterms:created>
  <dcterms:modified xsi:type="dcterms:W3CDTF">2026-08-31T04:44:00Z</dcterms:modified>
</cp:coreProperties>
</file>