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00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00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00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00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00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04MyXWG4DdRYuwBCFIOE1ZWMFw==">CgMxLjA4AHIhMUxIR0lqbEJRc2t2LVpkMHpVQmw1V0pVM2V4WXI5Qkpi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