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репозиториями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настройки рабочей среды.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pass (рис. 1).</w:t>
      </w:r>
    </w:p>
    <w:p>
      <w:pPr>
        <w:pStyle w:val="CaptionedFigure"/>
      </w:pPr>
      <w:r>
        <w:drawing>
          <wp:inline>
            <wp:extent cx="3733800" cy="2576432"/>
            <wp:effectExtent b="0" l="0" r="0" t="0"/>
            <wp:docPr descr="Устанавливаем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pass</w:t>
      </w:r>
    </w:p>
    <w:p>
      <w:pPr>
        <w:pStyle w:val="BodyText"/>
      </w:pPr>
      <w:r>
        <w:t xml:space="preserve">Устанавливаем gopass (рис. 2).</w:t>
      </w:r>
    </w:p>
    <w:p>
      <w:pPr>
        <w:pStyle w:val="CaptionedFigure"/>
      </w:pPr>
      <w:r>
        <w:drawing>
          <wp:inline>
            <wp:extent cx="3733800" cy="1530125"/>
            <wp:effectExtent b="0" l="0" r="0" t="0"/>
            <wp:docPr descr="Устанавливаем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Устанавливаем gopass</w:t>
      </w:r>
    </w:p>
    <w:p>
      <w:pPr>
        <w:pStyle w:val="BodyText"/>
      </w:pPr>
      <w:r>
        <w:t xml:space="preserve">Инициализируем хранилище по gpg ключу (рис. 3).</w:t>
      </w:r>
    </w:p>
    <w:p>
      <w:pPr>
        <w:pStyle w:val="CaptionedFigure"/>
      </w:pPr>
      <w:r>
        <w:drawing>
          <wp:inline>
            <wp:extent cx="3733800" cy="790366"/>
            <wp:effectExtent b="0" l="0" r="0" t="0"/>
            <wp:docPr descr="Инициализируем хранилищ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Инициализируем хранилище</w:t>
      </w:r>
    </w:p>
    <w:p>
      <w:pPr>
        <w:pStyle w:val="BodyText"/>
      </w:pPr>
      <w:r>
        <w:t xml:space="preserve">Задаем адрес репозитория и создаем структуру (рис. 4).</w:t>
      </w:r>
    </w:p>
    <w:p>
      <w:pPr>
        <w:pStyle w:val="CaptionedFigure"/>
      </w:pPr>
      <w:r>
        <w:drawing>
          <wp:inline>
            <wp:extent cx="3733800" cy="274160"/>
            <wp:effectExtent b="0" l="0" r="0" t="0"/>
            <wp:docPr descr="Задаем адрес репозитория и создаем структур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Задаем адрес репозитория и создаем структуру</w:t>
      </w:r>
    </w:p>
    <w:p>
      <w:pPr>
        <w:pStyle w:val="BodyText"/>
      </w:pPr>
      <w:r>
        <w:t xml:space="preserve">Синхронизируем (рис. 5).</w:t>
      </w:r>
    </w:p>
    <w:p>
      <w:pPr>
        <w:pStyle w:val="CaptionedFigure"/>
      </w:pPr>
      <w:r>
        <w:drawing>
          <wp:inline>
            <wp:extent cx="3733800" cy="2146150"/>
            <wp:effectExtent b="0" l="0" r="0" t="0"/>
            <wp:docPr descr="Синхронизируе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Синхронизируем</w:t>
      </w:r>
    </w:p>
    <w:p>
      <w:pPr>
        <w:pStyle w:val="BodyText"/>
      </w:pPr>
      <w:r>
        <w:t xml:space="preserve">Вручную закоммитим и выложим изменения (рис. 6).</w:t>
      </w:r>
    </w:p>
    <w:p>
      <w:pPr>
        <w:pStyle w:val="CaptionedFigure"/>
      </w:pPr>
      <w:r>
        <w:drawing>
          <wp:inline>
            <wp:extent cx="3733800" cy="2437648"/>
            <wp:effectExtent b="0" l="0" r="0" t="0"/>
            <wp:docPr descr="Вручную закоммитим и выложим измен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Вручную закоммитим и выложим изменения</w:t>
      </w:r>
    </w:p>
    <w:p>
      <w:pPr>
        <w:pStyle w:val="BodyText"/>
      </w:pPr>
      <w:r>
        <w:t xml:space="preserve">Проверим статус синхронизации (рис. 7).</w:t>
      </w:r>
    </w:p>
    <w:p>
      <w:pPr>
        <w:pStyle w:val="CaptionedFigure"/>
      </w:pPr>
      <w:r>
        <w:drawing>
          <wp:inline>
            <wp:extent cx="3733800" cy="1295252"/>
            <wp:effectExtent b="0" l="0" r="0" t="0"/>
            <wp:docPr descr="Проверим статус синхронизац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Проверим статус синхронизации</w:t>
      </w:r>
    </w:p>
    <w:p>
      <w:pPr>
        <w:pStyle w:val="BodyText"/>
      </w:pPr>
      <w:r>
        <w:t xml:space="preserve">Настройка интерфейса с браузером (рис. 8).</w:t>
      </w:r>
    </w:p>
    <w:p>
      <w:pPr>
        <w:pStyle w:val="CaptionedFigure"/>
      </w:pPr>
      <w:r>
        <w:drawing>
          <wp:inline>
            <wp:extent cx="3733800" cy="1473077"/>
            <wp:effectExtent b="0" l="0" r="0" t="0"/>
            <wp:docPr descr="Настройка интерфейса с браузер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интерфейса с браузером</w:t>
      </w:r>
    </w:p>
    <w:p>
      <w:pPr>
        <w:pStyle w:val="CaptionedFigure"/>
      </w:pPr>
      <w:r>
        <w:drawing>
          <wp:inline>
            <wp:extent cx="3733800" cy="2528399"/>
            <wp:effectExtent b="0" l="0" r="0" t="0"/>
            <wp:docPr descr="Настройка интерфейса с браузером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интерфейса с браузером</w:t>
      </w:r>
    </w:p>
    <w:p>
      <w:pPr>
        <w:pStyle w:val="BodyText"/>
      </w:pPr>
      <w:r>
        <w:t xml:space="preserve">Добавим новый пароль (рис. 10).</w:t>
      </w:r>
    </w:p>
    <w:p>
      <w:pPr>
        <w:pStyle w:val="CaptionedFigure"/>
      </w:pPr>
      <w:r>
        <w:drawing>
          <wp:inline>
            <wp:extent cx="3733800" cy="1515533"/>
            <wp:effectExtent b="0" l="0" r="0" t="0"/>
            <wp:docPr descr="Добавим новый пароль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Добавим новый пароль</w:t>
      </w:r>
    </w:p>
    <w:p>
      <w:pPr>
        <w:pStyle w:val="BodyText"/>
      </w:pPr>
      <w:r>
        <w:t xml:space="preserve">Проверим пароль и зададим новый (рис. 11).</w:t>
      </w:r>
    </w:p>
    <w:p>
      <w:pPr>
        <w:pStyle w:val="CaptionedFigure"/>
      </w:pPr>
      <w:r>
        <w:drawing>
          <wp:inline>
            <wp:extent cx="3733800" cy="930920"/>
            <wp:effectExtent b="0" l="0" r="0" t="0"/>
            <wp:docPr descr="Проверим пароль и зададим новы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Проверим пароль и зададим новый</w:t>
      </w:r>
    </w:p>
    <w:p>
      <w:pPr>
        <w:pStyle w:val="BodyText"/>
      </w:pPr>
      <w:r>
        <w:t xml:space="preserve">Установим дополнительное программное обеспечение (рис. 12).</w:t>
      </w:r>
    </w:p>
    <w:p>
      <w:pPr>
        <w:pStyle w:val="CaptionedFigure"/>
      </w:pPr>
      <w:r>
        <w:drawing>
          <wp:inline>
            <wp:extent cx="3733800" cy="1030013"/>
            <wp:effectExtent b="0" l="0" r="0" t="0"/>
            <wp:docPr descr="Установим дополнительное программное обеспечение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Установим дополнительное программное обеспечение</w:t>
      </w:r>
    </w:p>
    <w:p>
      <w:pPr>
        <w:pStyle w:val="BodyText"/>
      </w:pPr>
      <w:r>
        <w:t xml:space="preserve">Установим шрифты (рис. 13).</w:t>
      </w:r>
    </w:p>
    <w:p>
      <w:pPr>
        <w:pStyle w:val="CaptionedFigure"/>
      </w:pPr>
      <w:r>
        <w:drawing>
          <wp:inline>
            <wp:extent cx="3733800" cy="2567445"/>
            <wp:effectExtent b="0" l="0" r="0" t="0"/>
            <wp:docPr descr="Установим шрифт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Установим шрифты</w:t>
      </w:r>
    </w:p>
    <w:p>
      <w:pPr>
        <w:pStyle w:val="BodyText"/>
      </w:pPr>
      <w:r>
        <w:t xml:space="preserve">Установим бинарный файл (рис. 14).</w:t>
      </w:r>
    </w:p>
    <w:p>
      <w:pPr>
        <w:pStyle w:val="CaptionedFigure"/>
      </w:pPr>
      <w:r>
        <w:drawing>
          <wp:inline>
            <wp:extent cx="3733800" cy="450174"/>
            <wp:effectExtent b="0" l="0" r="0" t="0"/>
            <wp:docPr descr="Установим бинарный файл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Установим бинарный файл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правильной настройки рабочей среды.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Спелов Андрей Николаевич НПИбд-02-23</dc:creator>
  <dc:language>ru-RU</dc:language>
  <cp:keywords/>
  <dcterms:created xsi:type="dcterms:W3CDTF">2024-03-11T20:37:10Z</dcterms:created>
  <dcterms:modified xsi:type="dcterms:W3CDTF">2024-03-11T20:37:10Z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репозиториями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