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Nanopay is a canadian fintech company located in Toronto that utilizes a hybrid blockchain and traditional database to build a scalable payment and liquidity management solutions for business and banks. Nanopay’s platform includes two products; Connect, which is an easily integrated cross-border business to business payment system with no fees, and Liquid, a state of the art capital and liquid cash account management system. Combining these two systems enables an enterprise of any size to maintain maximum control over their cash.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Nanopay’s systems conjoin the security, tamper resistance, and immutability of blockchain with the high performance, powerful search capabilities, and low cost of traditional databases. The result is a centralized blockchain database that is both lightning fast and significantly more secure than most banks.</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Nanopay was founded in 2013 by Laurence Cooke who quickly acquired MintChip a digital cash platform originally developed by the Royal Canadian Mint. Using centralized leger technology, nanopay continued to build the MintChip platform into a more scalable, reliable, and easy to use product.</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Traditionally, any payments sent or received by a company would have to go through a bank. These banks would charge a fee on every transaction and significantly more for any transactions that crossed a border into another country, thus significantly limiting the ability for companies to grow globally. Furthermore, for any company that has multiple capital accounts, capital management and treasury can become quite the arduous task. Therefore, Nanopay’s platform will allow businesses of any size to have better control of their capital.</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Nanopay is a leading global player in digital payments and is helping to accelerate the transition to digital cash.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