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949AF" w14:textId="77777777" w:rsidR="001C0FCC" w:rsidRPr="001C0FCC" w:rsidRDefault="001C0FCC" w:rsidP="001C0FCC">
      <w:pPr>
        <w:shd w:val="clear" w:color="auto" w:fill="FFFFFF"/>
        <w:spacing w:after="0" w:line="240" w:lineRule="auto"/>
        <w:rPr>
          <w:rFonts w:ascii="Segoe UI" w:eastAsia="Times New Roman" w:hAnsi="Segoe UI" w:cs="Segoe UI"/>
          <w:b/>
          <w:bCs/>
          <w:caps/>
          <w:color w:val="212121"/>
          <w:sz w:val="21"/>
          <w:szCs w:val="21"/>
        </w:rPr>
      </w:pPr>
      <w:r w:rsidRPr="001C0FCC">
        <w:rPr>
          <w:rFonts w:ascii="Segoe UI" w:eastAsia="Times New Roman" w:hAnsi="Segoe UI" w:cs="Segoe UI"/>
          <w:b/>
          <w:bCs/>
          <w:caps/>
          <w:color w:val="212121"/>
          <w:sz w:val="21"/>
          <w:szCs w:val="21"/>
        </w:rPr>
        <w:t>AID 1475</w:t>
      </w:r>
    </w:p>
    <w:p w14:paraId="7C1C8681" w14:textId="77777777" w:rsidR="001C0FCC" w:rsidRPr="001C0FCC" w:rsidRDefault="001C0FCC" w:rsidP="001C0FCC">
      <w:pPr>
        <w:shd w:val="clear" w:color="auto" w:fill="FFFFFF"/>
        <w:spacing w:after="0" w:line="240" w:lineRule="auto"/>
        <w:outlineLvl w:val="0"/>
        <w:rPr>
          <w:rFonts w:ascii="Segoe UI" w:eastAsia="Times New Roman" w:hAnsi="Segoe UI" w:cs="Segoe UI"/>
          <w:b/>
          <w:bCs/>
          <w:color w:val="5B616B"/>
          <w:kern w:val="36"/>
          <w:sz w:val="53"/>
          <w:szCs w:val="53"/>
        </w:rPr>
      </w:pPr>
      <w:r w:rsidRPr="001C0FCC">
        <w:rPr>
          <w:rFonts w:ascii="Segoe UI" w:eastAsia="Times New Roman" w:hAnsi="Segoe UI" w:cs="Segoe UI"/>
          <w:b/>
          <w:bCs/>
          <w:color w:val="5B616B"/>
          <w:kern w:val="36"/>
          <w:sz w:val="53"/>
          <w:szCs w:val="53"/>
        </w:rPr>
        <w:t>Quantitative High-Throughput Screen for Inhibitors of Tau Fibril Formation: Summary</w:t>
      </w:r>
    </w:p>
    <w:p w14:paraId="29C401CD" w14:textId="77777777" w:rsidR="001C0FCC" w:rsidRDefault="001C0FCC" w:rsidP="001C0FCC">
      <w:pPr>
        <w:shd w:val="clear" w:color="auto" w:fill="FFFFFF"/>
        <w:spacing w:after="0" w:line="240" w:lineRule="auto"/>
        <w:textAlignment w:val="bottom"/>
        <w:outlineLvl w:val="1"/>
        <w:rPr>
          <w:rFonts w:ascii="Segoe UI" w:eastAsia="Times New Roman" w:hAnsi="Segoe UI" w:cs="Segoe UI"/>
          <w:color w:val="5B616B"/>
          <w:sz w:val="42"/>
          <w:szCs w:val="42"/>
        </w:rPr>
      </w:pPr>
    </w:p>
    <w:p w14:paraId="6D610217" w14:textId="7D2E930C" w:rsidR="001C0FCC" w:rsidRDefault="001C0FCC" w:rsidP="001C0FCC">
      <w:pPr>
        <w:shd w:val="clear" w:color="auto" w:fill="FFFFFF"/>
        <w:spacing w:after="0" w:line="240" w:lineRule="auto"/>
        <w:textAlignment w:val="bottom"/>
        <w:outlineLvl w:val="1"/>
        <w:rPr>
          <w:rFonts w:ascii="Segoe UI" w:eastAsia="Times New Roman" w:hAnsi="Segoe UI" w:cs="Segoe UI"/>
          <w:b/>
          <w:bCs/>
          <w:color w:val="5B616B"/>
          <w:sz w:val="42"/>
          <w:szCs w:val="42"/>
        </w:rPr>
      </w:pPr>
      <w:r w:rsidRPr="001C0FCC">
        <w:rPr>
          <w:rFonts w:ascii="Segoe UI" w:eastAsia="Times New Roman" w:hAnsi="Segoe UI" w:cs="Segoe UI"/>
          <w:b/>
          <w:bCs/>
          <w:color w:val="5B616B"/>
          <w:sz w:val="42"/>
          <w:szCs w:val="42"/>
        </w:rPr>
        <w:t>Description</w:t>
      </w:r>
    </w:p>
    <w:p w14:paraId="7ECC3BA7" w14:textId="77777777" w:rsidR="001C0FCC" w:rsidRPr="001C0FCC" w:rsidRDefault="001C0FCC" w:rsidP="001C0FCC">
      <w:pPr>
        <w:shd w:val="clear" w:color="auto" w:fill="FFFFFF"/>
        <w:spacing w:after="0" w:line="240" w:lineRule="auto"/>
        <w:textAlignment w:val="bottom"/>
        <w:outlineLvl w:val="1"/>
        <w:rPr>
          <w:rFonts w:ascii="Segoe UI" w:eastAsia="Times New Roman" w:hAnsi="Segoe UI" w:cs="Segoe UI"/>
          <w:b/>
          <w:bCs/>
          <w:color w:val="5B616B"/>
        </w:rPr>
      </w:pPr>
    </w:p>
    <w:p w14:paraId="5B64E175" w14:textId="77777777" w:rsidR="001C0FCC" w:rsidRPr="001C0FCC" w:rsidRDefault="001C0FCC" w:rsidP="001C0FCC">
      <w:pPr>
        <w:pStyle w:val="ListParagraph"/>
        <w:numPr>
          <w:ilvl w:val="0"/>
          <w:numId w:val="1"/>
        </w:numPr>
        <w:shd w:val="clear" w:color="auto" w:fill="FFFFFF"/>
        <w:spacing w:after="0" w:line="240" w:lineRule="auto"/>
        <w:rPr>
          <w:rFonts w:ascii="Segoe UI" w:eastAsia="Times New Roman" w:hAnsi="Segoe UI" w:cs="Segoe UI"/>
          <w:color w:val="212121"/>
          <w:sz w:val="24"/>
          <w:szCs w:val="24"/>
        </w:rPr>
      </w:pPr>
      <w:r w:rsidRPr="001C0FCC">
        <w:rPr>
          <w:rFonts w:ascii="Segoe UI" w:eastAsia="Times New Roman" w:hAnsi="Segoe UI" w:cs="Segoe UI"/>
          <w:color w:val="212121"/>
          <w:sz w:val="24"/>
          <w:szCs w:val="24"/>
        </w:rPr>
        <w:t>NIH Molecular Libraries Probe Production Network [MLPCN]</w:t>
      </w:r>
    </w:p>
    <w:p w14:paraId="482A33F3" w14:textId="77777777" w:rsidR="001C0FCC" w:rsidRPr="001C0FCC" w:rsidRDefault="001C0FCC" w:rsidP="001C0FCC">
      <w:pPr>
        <w:pStyle w:val="ListParagraph"/>
        <w:numPr>
          <w:ilvl w:val="0"/>
          <w:numId w:val="1"/>
        </w:numPr>
        <w:shd w:val="clear" w:color="auto" w:fill="FFFFFF"/>
        <w:spacing w:after="0" w:line="240" w:lineRule="auto"/>
        <w:rPr>
          <w:rFonts w:ascii="Segoe UI" w:eastAsia="Times New Roman" w:hAnsi="Segoe UI" w:cs="Segoe UI"/>
          <w:color w:val="212121"/>
          <w:sz w:val="24"/>
          <w:szCs w:val="24"/>
        </w:rPr>
      </w:pPr>
      <w:r w:rsidRPr="001C0FCC">
        <w:rPr>
          <w:rFonts w:ascii="Segoe UI" w:eastAsia="Times New Roman" w:hAnsi="Segoe UI" w:cs="Segoe UI"/>
          <w:color w:val="212121"/>
          <w:sz w:val="24"/>
          <w:szCs w:val="24"/>
        </w:rPr>
        <w:t>NIH Chemical Genomics Center [NCGC]</w:t>
      </w:r>
    </w:p>
    <w:p w14:paraId="1617C114" w14:textId="77777777" w:rsidR="001C0FCC" w:rsidRPr="001C0FCC" w:rsidRDefault="001C0FCC" w:rsidP="001C0FCC">
      <w:pPr>
        <w:pStyle w:val="ListParagraph"/>
        <w:numPr>
          <w:ilvl w:val="0"/>
          <w:numId w:val="1"/>
        </w:numPr>
        <w:shd w:val="clear" w:color="auto" w:fill="FFFFFF"/>
        <w:spacing w:after="0" w:line="240" w:lineRule="auto"/>
        <w:rPr>
          <w:rFonts w:ascii="Segoe UI" w:eastAsia="Times New Roman" w:hAnsi="Segoe UI" w:cs="Segoe UI"/>
          <w:color w:val="212121"/>
          <w:sz w:val="24"/>
          <w:szCs w:val="24"/>
        </w:rPr>
      </w:pPr>
      <w:r w:rsidRPr="001C0FCC">
        <w:rPr>
          <w:rFonts w:ascii="Segoe UI" w:eastAsia="Times New Roman" w:hAnsi="Segoe UI" w:cs="Segoe UI"/>
          <w:color w:val="212121"/>
          <w:sz w:val="24"/>
          <w:szCs w:val="24"/>
        </w:rPr>
        <w:t>MLPCN Grant: X01 MH083262-01</w:t>
      </w:r>
    </w:p>
    <w:p w14:paraId="2856E0E7" w14:textId="77777777" w:rsidR="001C0FCC" w:rsidRPr="001C0FCC" w:rsidRDefault="001C0FCC" w:rsidP="001C0FCC">
      <w:pPr>
        <w:pStyle w:val="ListParagraph"/>
        <w:numPr>
          <w:ilvl w:val="0"/>
          <w:numId w:val="1"/>
        </w:numPr>
        <w:shd w:val="clear" w:color="auto" w:fill="FFFFFF"/>
        <w:spacing w:after="0" w:line="240" w:lineRule="auto"/>
        <w:rPr>
          <w:rFonts w:ascii="Segoe UI" w:eastAsia="Times New Roman" w:hAnsi="Segoe UI" w:cs="Segoe UI"/>
          <w:color w:val="212121"/>
          <w:sz w:val="24"/>
          <w:szCs w:val="24"/>
        </w:rPr>
      </w:pPr>
      <w:r w:rsidRPr="001C0FCC">
        <w:rPr>
          <w:rFonts w:ascii="Segoe UI" w:eastAsia="Times New Roman" w:hAnsi="Segoe UI" w:cs="Segoe UI"/>
          <w:color w:val="212121"/>
          <w:sz w:val="24"/>
          <w:szCs w:val="24"/>
        </w:rPr>
        <w:t xml:space="preserve">Assay Provider: Carlo </w:t>
      </w:r>
      <w:proofErr w:type="spellStart"/>
      <w:r w:rsidRPr="001C0FCC">
        <w:rPr>
          <w:rFonts w:ascii="Segoe UI" w:eastAsia="Times New Roman" w:hAnsi="Segoe UI" w:cs="Segoe UI"/>
          <w:color w:val="212121"/>
          <w:sz w:val="24"/>
          <w:szCs w:val="24"/>
        </w:rPr>
        <w:t>Ballatore</w:t>
      </w:r>
      <w:proofErr w:type="spellEnd"/>
      <w:r w:rsidRPr="001C0FCC">
        <w:rPr>
          <w:rFonts w:ascii="Segoe UI" w:eastAsia="Times New Roman" w:hAnsi="Segoe UI" w:cs="Segoe UI"/>
          <w:color w:val="212121"/>
          <w:sz w:val="24"/>
          <w:szCs w:val="24"/>
        </w:rPr>
        <w:t>, University of Pennsylvania</w:t>
      </w:r>
    </w:p>
    <w:p w14:paraId="2D944042" w14:textId="77777777" w:rsidR="001C0FCC" w:rsidRDefault="001C0FCC" w:rsidP="001C0FCC">
      <w:pPr>
        <w:shd w:val="clear" w:color="auto" w:fill="FFFFFF"/>
        <w:spacing w:after="0" w:line="240" w:lineRule="auto"/>
        <w:rPr>
          <w:rFonts w:ascii="Segoe UI" w:eastAsia="Times New Roman" w:hAnsi="Segoe UI" w:cs="Segoe UI"/>
          <w:color w:val="212121"/>
          <w:sz w:val="24"/>
          <w:szCs w:val="24"/>
        </w:rPr>
      </w:pPr>
    </w:p>
    <w:p w14:paraId="27FEC015" w14:textId="5F85DDA1" w:rsidR="001C0FCC" w:rsidRPr="001C0FCC" w:rsidRDefault="001C0FCC" w:rsidP="001C0FCC">
      <w:pPr>
        <w:shd w:val="clear" w:color="auto" w:fill="FFFFFF"/>
        <w:spacing w:after="0" w:line="240" w:lineRule="auto"/>
        <w:rPr>
          <w:rFonts w:ascii="Segoe UI" w:eastAsia="Times New Roman" w:hAnsi="Segoe UI" w:cs="Segoe UI"/>
          <w:b/>
          <w:bCs/>
          <w:color w:val="212121"/>
          <w:sz w:val="24"/>
          <w:szCs w:val="24"/>
        </w:rPr>
      </w:pPr>
      <w:r w:rsidRPr="001C0FCC">
        <w:rPr>
          <w:rFonts w:ascii="Segoe UI" w:eastAsia="Times New Roman" w:hAnsi="Segoe UI" w:cs="Segoe UI"/>
          <w:b/>
          <w:bCs/>
          <w:color w:val="212121"/>
          <w:sz w:val="24"/>
          <w:szCs w:val="24"/>
        </w:rPr>
        <w:t>NCGC Assay Overview:</w:t>
      </w:r>
    </w:p>
    <w:p w14:paraId="4B57784F" w14:textId="77777777" w:rsidR="001C0FCC" w:rsidRDefault="001C0FCC" w:rsidP="001C0FCC">
      <w:pPr>
        <w:shd w:val="clear" w:color="auto" w:fill="FFFFFF"/>
        <w:spacing w:after="0" w:line="240" w:lineRule="auto"/>
        <w:rPr>
          <w:rFonts w:ascii="Segoe UI" w:eastAsia="Times New Roman" w:hAnsi="Segoe UI" w:cs="Segoe UI"/>
          <w:color w:val="212121"/>
          <w:sz w:val="24"/>
          <w:szCs w:val="24"/>
        </w:rPr>
      </w:pPr>
    </w:p>
    <w:p w14:paraId="731BA803" w14:textId="75AF53ED" w:rsidR="001C0FCC" w:rsidRDefault="001C0FCC" w:rsidP="001C0FCC">
      <w:pPr>
        <w:shd w:val="clear" w:color="auto" w:fill="FFFFFF"/>
        <w:spacing w:after="0" w:line="240" w:lineRule="auto"/>
        <w:rPr>
          <w:rFonts w:ascii="Segoe UI" w:eastAsia="Times New Roman" w:hAnsi="Segoe UI" w:cs="Segoe UI"/>
          <w:color w:val="212121"/>
          <w:sz w:val="24"/>
          <w:szCs w:val="24"/>
        </w:rPr>
      </w:pPr>
      <w:r w:rsidRPr="001C0FCC">
        <w:rPr>
          <w:rFonts w:ascii="Segoe UI" w:eastAsia="Times New Roman" w:hAnsi="Segoe UI" w:cs="Segoe UI"/>
          <w:color w:val="212121"/>
          <w:sz w:val="24"/>
          <w:szCs w:val="24"/>
        </w:rPr>
        <w:t xml:space="preserve">The microtubule-associated protein tau is an abundant protein in the axons of neurons that stabilizes microtubules. With its ability to modulate microtubule dynamics, tau contributes directly or indirectly, to key structural and regulatory cellular functions. Particularly important is the influence tau exerts on axonal transport, which allows signaling molecules, trophic </w:t>
      </w:r>
      <w:proofErr w:type="gramStart"/>
      <w:r w:rsidRPr="001C0FCC">
        <w:rPr>
          <w:rFonts w:ascii="Segoe UI" w:eastAsia="Times New Roman" w:hAnsi="Segoe UI" w:cs="Segoe UI"/>
          <w:color w:val="212121"/>
          <w:sz w:val="24"/>
          <w:szCs w:val="24"/>
        </w:rPr>
        <w:t>factors</w:t>
      </w:r>
      <w:proofErr w:type="gramEnd"/>
      <w:r w:rsidRPr="001C0FCC">
        <w:rPr>
          <w:rFonts w:ascii="Segoe UI" w:eastAsia="Times New Roman" w:hAnsi="Segoe UI" w:cs="Segoe UI"/>
          <w:color w:val="212121"/>
          <w:sz w:val="24"/>
          <w:szCs w:val="24"/>
        </w:rPr>
        <w:t xml:space="preserve"> and other essential cellular constituents to travel along the axons. Under pathological conditions, tau becomes sequestered into insoluble aggregates called neurofibrillary tangles. This phenomenon is believed to have pathological consequences by promoting axonal transport deficits that ultimately lead to synaptic dysfunction and neuronal loss.</w:t>
      </w:r>
    </w:p>
    <w:p w14:paraId="62339425" w14:textId="77777777" w:rsidR="001C0FCC" w:rsidRPr="001C0FCC" w:rsidRDefault="001C0FCC" w:rsidP="001C0FCC">
      <w:pPr>
        <w:shd w:val="clear" w:color="auto" w:fill="FFFFFF"/>
        <w:spacing w:after="0" w:line="240" w:lineRule="auto"/>
        <w:rPr>
          <w:rFonts w:ascii="Segoe UI" w:eastAsia="Times New Roman" w:hAnsi="Segoe UI" w:cs="Segoe UI"/>
          <w:color w:val="212121"/>
          <w:sz w:val="24"/>
          <w:szCs w:val="24"/>
        </w:rPr>
      </w:pPr>
    </w:p>
    <w:p w14:paraId="070978C0" w14:textId="01E69422" w:rsidR="001C0FCC" w:rsidRDefault="001C0FCC" w:rsidP="001C0FCC">
      <w:pPr>
        <w:shd w:val="clear" w:color="auto" w:fill="FFFFFF"/>
        <w:spacing w:after="0" w:line="240" w:lineRule="auto"/>
        <w:rPr>
          <w:rFonts w:ascii="Segoe UI" w:eastAsia="Times New Roman" w:hAnsi="Segoe UI" w:cs="Segoe UI"/>
          <w:color w:val="212121"/>
          <w:sz w:val="24"/>
          <w:szCs w:val="24"/>
        </w:rPr>
      </w:pPr>
      <w:r w:rsidRPr="001C0FCC">
        <w:rPr>
          <w:rFonts w:ascii="Segoe UI" w:eastAsia="Times New Roman" w:hAnsi="Segoe UI" w:cs="Segoe UI"/>
          <w:color w:val="212121"/>
          <w:sz w:val="24"/>
          <w:szCs w:val="24"/>
        </w:rPr>
        <w:t>To identify inhibitors of tau aggregation, a heparin-induced tau fibril formation assay was used that employed a recombinantly expressed fragment of tau, K18 (Q242-E372), bearing a P301L mutation (</w:t>
      </w:r>
      <w:proofErr w:type="spellStart"/>
      <w:r w:rsidRPr="001C0FCC">
        <w:rPr>
          <w:rFonts w:ascii="Segoe UI" w:eastAsia="Times New Roman" w:hAnsi="Segoe UI" w:cs="Segoe UI"/>
          <w:color w:val="212121"/>
          <w:sz w:val="24"/>
          <w:szCs w:val="24"/>
        </w:rPr>
        <w:t>Gustke</w:t>
      </w:r>
      <w:proofErr w:type="spellEnd"/>
      <w:r w:rsidRPr="001C0FCC">
        <w:rPr>
          <w:rFonts w:ascii="Segoe UI" w:eastAsia="Times New Roman" w:hAnsi="Segoe UI" w:cs="Segoe UI"/>
          <w:color w:val="212121"/>
          <w:sz w:val="24"/>
          <w:szCs w:val="24"/>
        </w:rPr>
        <w:t xml:space="preserve"> et al., 1994; Hong et al., 1998)). This assay monitors tau fibrillization in two ways, Thioflavin T (</w:t>
      </w:r>
      <w:proofErr w:type="spellStart"/>
      <w:r w:rsidRPr="001C0FCC">
        <w:rPr>
          <w:rFonts w:ascii="Segoe UI" w:eastAsia="Times New Roman" w:hAnsi="Segoe UI" w:cs="Segoe UI"/>
          <w:color w:val="212121"/>
          <w:sz w:val="24"/>
          <w:szCs w:val="24"/>
        </w:rPr>
        <w:t>ThT</w:t>
      </w:r>
      <w:proofErr w:type="spellEnd"/>
      <w:r w:rsidRPr="001C0FCC">
        <w:rPr>
          <w:rFonts w:ascii="Segoe UI" w:eastAsia="Times New Roman" w:hAnsi="Segoe UI" w:cs="Segoe UI"/>
          <w:color w:val="212121"/>
          <w:sz w:val="24"/>
          <w:szCs w:val="24"/>
        </w:rPr>
        <w:t xml:space="preserve">) fluorescence and fluorescence polarization (FP) of Alexa 594-labeled K18 P301L, which does not </w:t>
      </w:r>
      <w:proofErr w:type="spellStart"/>
      <w:r w:rsidRPr="001C0FCC">
        <w:rPr>
          <w:rFonts w:ascii="Segoe UI" w:eastAsia="Times New Roman" w:hAnsi="Segoe UI" w:cs="Segoe UI"/>
          <w:color w:val="212121"/>
          <w:sz w:val="24"/>
          <w:szCs w:val="24"/>
        </w:rPr>
        <w:t>fibrillize</w:t>
      </w:r>
      <w:proofErr w:type="spellEnd"/>
      <w:r w:rsidRPr="001C0FCC">
        <w:rPr>
          <w:rFonts w:ascii="Segoe UI" w:eastAsia="Times New Roman" w:hAnsi="Segoe UI" w:cs="Segoe UI"/>
          <w:color w:val="212121"/>
          <w:sz w:val="24"/>
          <w:szCs w:val="24"/>
        </w:rPr>
        <w:t xml:space="preserve"> readily but incorporates into growing filaments of unlabeled tau. The assay was screened against the MLSMR in a quantitative high-throughput screen (</w:t>
      </w:r>
      <w:proofErr w:type="spellStart"/>
      <w:r w:rsidRPr="001C0FCC">
        <w:rPr>
          <w:rFonts w:ascii="Segoe UI" w:eastAsia="Times New Roman" w:hAnsi="Segoe UI" w:cs="Segoe UI"/>
          <w:color w:val="212121"/>
          <w:sz w:val="24"/>
          <w:szCs w:val="24"/>
        </w:rPr>
        <w:t>qHTS</w:t>
      </w:r>
      <w:proofErr w:type="spellEnd"/>
      <w:r w:rsidRPr="001C0FCC">
        <w:rPr>
          <w:rFonts w:ascii="Segoe UI" w:eastAsia="Times New Roman" w:hAnsi="Segoe UI" w:cs="Segoe UI"/>
          <w:color w:val="212121"/>
          <w:sz w:val="24"/>
          <w:szCs w:val="24"/>
        </w:rPr>
        <w:t xml:space="preserve">, (Inglese et al., 2006)) of six library concentrations where </w:t>
      </w:r>
      <w:proofErr w:type="spellStart"/>
      <w:r w:rsidRPr="001C0FCC">
        <w:rPr>
          <w:rFonts w:ascii="Segoe UI" w:eastAsia="Times New Roman" w:hAnsi="Segoe UI" w:cs="Segoe UI"/>
          <w:color w:val="212121"/>
          <w:sz w:val="24"/>
          <w:szCs w:val="24"/>
        </w:rPr>
        <w:t>ThT</w:t>
      </w:r>
      <w:proofErr w:type="spellEnd"/>
      <w:r w:rsidRPr="001C0FCC">
        <w:rPr>
          <w:rFonts w:ascii="Segoe UI" w:eastAsia="Times New Roman" w:hAnsi="Segoe UI" w:cs="Segoe UI"/>
          <w:color w:val="212121"/>
          <w:sz w:val="24"/>
          <w:szCs w:val="24"/>
        </w:rPr>
        <w:t xml:space="preserve"> (</w:t>
      </w:r>
      <w:hyperlink r:id="rId5" w:history="1">
        <w:r w:rsidRPr="001C0FCC">
          <w:rPr>
            <w:rFonts w:ascii="Segoe UI" w:eastAsia="Times New Roman" w:hAnsi="Segoe UI" w:cs="Segoe UI"/>
            <w:color w:val="0071BC"/>
            <w:sz w:val="24"/>
            <w:szCs w:val="24"/>
            <w:u w:val="single"/>
          </w:rPr>
          <w:t>AID 1460</w:t>
        </w:r>
      </w:hyperlink>
      <w:r w:rsidRPr="001C0FCC">
        <w:rPr>
          <w:rFonts w:ascii="Segoe UI" w:eastAsia="Times New Roman" w:hAnsi="Segoe UI" w:cs="Segoe UI"/>
          <w:color w:val="212121"/>
          <w:sz w:val="24"/>
          <w:szCs w:val="24"/>
        </w:rPr>
        <w:t xml:space="preserve">), FP </w:t>
      </w:r>
      <w:proofErr w:type="spellStart"/>
      <w:r w:rsidRPr="001C0FCC">
        <w:rPr>
          <w:rFonts w:ascii="Segoe UI" w:eastAsia="Times New Roman" w:hAnsi="Segoe UI" w:cs="Segoe UI"/>
          <w:color w:val="212121"/>
          <w:sz w:val="24"/>
          <w:szCs w:val="24"/>
        </w:rPr>
        <w:t>mP</w:t>
      </w:r>
      <w:proofErr w:type="spellEnd"/>
      <w:r w:rsidRPr="001C0FCC">
        <w:rPr>
          <w:rFonts w:ascii="Segoe UI" w:eastAsia="Times New Roman" w:hAnsi="Segoe UI" w:cs="Segoe UI"/>
          <w:color w:val="212121"/>
          <w:sz w:val="24"/>
          <w:szCs w:val="24"/>
        </w:rPr>
        <w:t xml:space="preserve"> (</w:t>
      </w:r>
      <w:hyperlink r:id="rId6" w:history="1">
        <w:r w:rsidRPr="001C0FCC">
          <w:rPr>
            <w:rFonts w:ascii="Segoe UI" w:eastAsia="Times New Roman" w:hAnsi="Segoe UI" w:cs="Segoe UI"/>
            <w:color w:val="0071BC"/>
            <w:sz w:val="24"/>
            <w:szCs w:val="24"/>
            <w:u w:val="single"/>
          </w:rPr>
          <w:t>AID 1468</w:t>
        </w:r>
      </w:hyperlink>
      <w:r w:rsidRPr="001C0FCC">
        <w:rPr>
          <w:rFonts w:ascii="Segoe UI" w:eastAsia="Times New Roman" w:hAnsi="Segoe UI" w:cs="Segoe UI"/>
          <w:color w:val="212121"/>
          <w:sz w:val="24"/>
          <w:szCs w:val="24"/>
        </w:rPr>
        <w:t>) and FP total fluorescence (</w:t>
      </w:r>
      <w:hyperlink r:id="rId7" w:history="1">
        <w:r w:rsidRPr="001C0FCC">
          <w:rPr>
            <w:rFonts w:ascii="Segoe UI" w:eastAsia="Times New Roman" w:hAnsi="Segoe UI" w:cs="Segoe UI"/>
            <w:color w:val="0071BC"/>
            <w:sz w:val="24"/>
            <w:szCs w:val="24"/>
            <w:u w:val="single"/>
          </w:rPr>
          <w:t>AID 1463</w:t>
        </w:r>
      </w:hyperlink>
      <w:r w:rsidRPr="001C0FCC">
        <w:rPr>
          <w:rFonts w:ascii="Segoe UI" w:eastAsia="Times New Roman" w:hAnsi="Segoe UI" w:cs="Segoe UI"/>
          <w:color w:val="212121"/>
          <w:sz w:val="24"/>
          <w:szCs w:val="24"/>
        </w:rPr>
        <w:t>) readouts were collected. The total fluorescence measurement for the FP assay served as a counterscreen to identify fluorescent compounds. The titration-</w:t>
      </w:r>
      <w:r w:rsidRPr="001C0FCC">
        <w:rPr>
          <w:rFonts w:ascii="Segoe UI" w:eastAsia="Times New Roman" w:hAnsi="Segoe UI" w:cs="Segoe UI"/>
          <w:color w:val="212121"/>
          <w:sz w:val="24"/>
          <w:szCs w:val="24"/>
        </w:rPr>
        <w:lastRenderedPageBreak/>
        <w:t>response data were curve-fit and classified to identify actives and nascent SAR analysis was performed.</w:t>
      </w:r>
    </w:p>
    <w:p w14:paraId="05CD9513" w14:textId="77777777" w:rsidR="000E27F5" w:rsidRPr="001C0FCC" w:rsidRDefault="000E27F5" w:rsidP="001C0FCC">
      <w:pPr>
        <w:shd w:val="clear" w:color="auto" w:fill="FFFFFF"/>
        <w:spacing w:after="0" w:line="240" w:lineRule="auto"/>
        <w:rPr>
          <w:rFonts w:ascii="Segoe UI" w:eastAsia="Times New Roman" w:hAnsi="Segoe UI" w:cs="Segoe UI"/>
          <w:color w:val="212121"/>
          <w:sz w:val="24"/>
          <w:szCs w:val="24"/>
        </w:rPr>
      </w:pPr>
    </w:p>
    <w:p w14:paraId="116A0265" w14:textId="4CEAC161" w:rsidR="001C0FCC" w:rsidRDefault="001C0FCC" w:rsidP="001C0FCC">
      <w:pPr>
        <w:shd w:val="clear" w:color="auto" w:fill="FFFFFF"/>
        <w:spacing w:after="0" w:line="240" w:lineRule="auto"/>
        <w:rPr>
          <w:rFonts w:ascii="Segoe UI" w:eastAsia="Times New Roman" w:hAnsi="Segoe UI" w:cs="Segoe UI"/>
          <w:color w:val="212121"/>
          <w:sz w:val="24"/>
          <w:szCs w:val="24"/>
        </w:rPr>
      </w:pPr>
      <w:r w:rsidRPr="001C0FCC">
        <w:rPr>
          <w:rFonts w:ascii="Segoe UI" w:eastAsia="Times New Roman" w:hAnsi="Segoe UI" w:cs="Segoe UI"/>
          <w:color w:val="212121"/>
          <w:sz w:val="24"/>
          <w:szCs w:val="24"/>
        </w:rPr>
        <w:t xml:space="preserve">For follow-up, 134 compounds were selected based on the following criteria: active with quality curve-fit in one or </w:t>
      </w:r>
      <w:proofErr w:type="gramStart"/>
      <w:r w:rsidRPr="001C0FCC">
        <w:rPr>
          <w:rFonts w:ascii="Segoe UI" w:eastAsia="Times New Roman" w:hAnsi="Segoe UI" w:cs="Segoe UI"/>
          <w:color w:val="212121"/>
          <w:sz w:val="24"/>
          <w:szCs w:val="24"/>
        </w:rPr>
        <w:t xml:space="preserve">both of the </w:t>
      </w:r>
      <w:proofErr w:type="spellStart"/>
      <w:r w:rsidRPr="001C0FCC">
        <w:rPr>
          <w:rFonts w:ascii="Segoe UI" w:eastAsia="Times New Roman" w:hAnsi="Segoe UI" w:cs="Segoe UI"/>
          <w:color w:val="212121"/>
          <w:sz w:val="24"/>
          <w:szCs w:val="24"/>
        </w:rPr>
        <w:t>ThT</w:t>
      </w:r>
      <w:proofErr w:type="spellEnd"/>
      <w:proofErr w:type="gramEnd"/>
      <w:r w:rsidRPr="001C0FCC">
        <w:rPr>
          <w:rFonts w:ascii="Segoe UI" w:eastAsia="Times New Roman" w:hAnsi="Segoe UI" w:cs="Segoe UI"/>
          <w:color w:val="212121"/>
          <w:sz w:val="24"/>
          <w:szCs w:val="24"/>
        </w:rPr>
        <w:t xml:space="preserve"> and FP measurements, little or no activity in the total fluorescence readout, absence of unwanted series bearing reactive or unstable functional groups and lacking promiscuous activity in other screens. The compounds were tested in the original screening assay where </w:t>
      </w:r>
      <w:proofErr w:type="spellStart"/>
      <w:r w:rsidRPr="001C0FCC">
        <w:rPr>
          <w:rFonts w:ascii="Segoe UI" w:eastAsia="Times New Roman" w:hAnsi="Segoe UI" w:cs="Segoe UI"/>
          <w:color w:val="212121"/>
          <w:sz w:val="24"/>
          <w:szCs w:val="24"/>
        </w:rPr>
        <w:t>ThT</w:t>
      </w:r>
      <w:proofErr w:type="spellEnd"/>
      <w:r w:rsidRPr="001C0FCC">
        <w:rPr>
          <w:rFonts w:ascii="Segoe UI" w:eastAsia="Times New Roman" w:hAnsi="Segoe UI" w:cs="Segoe UI"/>
          <w:color w:val="212121"/>
          <w:sz w:val="24"/>
          <w:szCs w:val="24"/>
        </w:rPr>
        <w:t xml:space="preserve"> (</w:t>
      </w:r>
      <w:hyperlink r:id="rId8" w:history="1">
        <w:r w:rsidRPr="001C0FCC">
          <w:rPr>
            <w:rFonts w:ascii="Segoe UI" w:eastAsia="Times New Roman" w:hAnsi="Segoe UI" w:cs="Segoe UI"/>
            <w:color w:val="0071BC"/>
            <w:sz w:val="24"/>
            <w:szCs w:val="24"/>
            <w:u w:val="single"/>
          </w:rPr>
          <w:t>AID 1558</w:t>
        </w:r>
      </w:hyperlink>
      <w:r w:rsidRPr="001C0FCC">
        <w:rPr>
          <w:rFonts w:ascii="Segoe UI" w:eastAsia="Times New Roman" w:hAnsi="Segoe UI" w:cs="Segoe UI"/>
          <w:color w:val="212121"/>
          <w:sz w:val="24"/>
          <w:szCs w:val="24"/>
        </w:rPr>
        <w:t xml:space="preserve">), FP </w:t>
      </w:r>
      <w:proofErr w:type="spellStart"/>
      <w:r w:rsidRPr="001C0FCC">
        <w:rPr>
          <w:rFonts w:ascii="Segoe UI" w:eastAsia="Times New Roman" w:hAnsi="Segoe UI" w:cs="Segoe UI"/>
          <w:color w:val="212121"/>
          <w:sz w:val="24"/>
          <w:szCs w:val="24"/>
        </w:rPr>
        <w:t>mP</w:t>
      </w:r>
      <w:proofErr w:type="spellEnd"/>
      <w:r w:rsidRPr="001C0FCC">
        <w:rPr>
          <w:rFonts w:ascii="Segoe UI" w:eastAsia="Times New Roman" w:hAnsi="Segoe UI" w:cs="Segoe UI"/>
          <w:color w:val="212121"/>
          <w:sz w:val="24"/>
          <w:szCs w:val="24"/>
        </w:rPr>
        <w:t xml:space="preserve"> (</w:t>
      </w:r>
      <w:hyperlink r:id="rId9" w:history="1">
        <w:r w:rsidRPr="001C0FCC">
          <w:rPr>
            <w:rFonts w:ascii="Segoe UI" w:eastAsia="Times New Roman" w:hAnsi="Segoe UI" w:cs="Segoe UI"/>
            <w:color w:val="0071BC"/>
            <w:sz w:val="24"/>
            <w:szCs w:val="24"/>
            <w:u w:val="single"/>
          </w:rPr>
          <w:t>AID 1559</w:t>
        </w:r>
      </w:hyperlink>
      <w:r w:rsidRPr="001C0FCC">
        <w:rPr>
          <w:rFonts w:ascii="Segoe UI" w:eastAsia="Times New Roman" w:hAnsi="Segoe UI" w:cs="Segoe UI"/>
          <w:color w:val="212121"/>
          <w:sz w:val="24"/>
          <w:szCs w:val="24"/>
        </w:rPr>
        <w:t>) and FP total fluorescence (</w:t>
      </w:r>
      <w:hyperlink r:id="rId10" w:history="1">
        <w:r w:rsidRPr="001C0FCC">
          <w:rPr>
            <w:rFonts w:ascii="Segoe UI" w:eastAsia="Times New Roman" w:hAnsi="Segoe UI" w:cs="Segoe UI"/>
            <w:color w:val="0071BC"/>
            <w:sz w:val="24"/>
            <w:szCs w:val="24"/>
            <w:u w:val="single"/>
          </w:rPr>
          <w:t>AID 1694</w:t>
        </w:r>
      </w:hyperlink>
      <w:r w:rsidRPr="001C0FCC">
        <w:rPr>
          <w:rFonts w:ascii="Segoe UI" w:eastAsia="Times New Roman" w:hAnsi="Segoe UI" w:cs="Segoe UI"/>
          <w:color w:val="212121"/>
          <w:sz w:val="24"/>
          <w:szCs w:val="24"/>
        </w:rPr>
        <w:t>) readouts were collected. Assay samples were also tested in a sedimentation assay (</w:t>
      </w:r>
      <w:hyperlink r:id="rId11" w:history="1">
        <w:r w:rsidRPr="001C0FCC">
          <w:rPr>
            <w:rFonts w:ascii="Segoe UI" w:eastAsia="Times New Roman" w:hAnsi="Segoe UI" w:cs="Segoe UI"/>
            <w:color w:val="0071BC"/>
            <w:sz w:val="24"/>
            <w:szCs w:val="24"/>
            <w:u w:val="single"/>
          </w:rPr>
          <w:t>AID 1720</w:t>
        </w:r>
      </w:hyperlink>
      <w:r w:rsidRPr="001C0FCC">
        <w:rPr>
          <w:rFonts w:ascii="Segoe UI" w:eastAsia="Times New Roman" w:hAnsi="Segoe UI" w:cs="Segoe UI"/>
          <w:color w:val="212121"/>
          <w:sz w:val="24"/>
          <w:szCs w:val="24"/>
        </w:rPr>
        <w:t>) where tau filaments pellet upon centrifugation while tau monomers remain in the supernatant. Assay samples where the compound inhibited tau sedimentation by 40% or more were examined by transmission electron microscopy (</w:t>
      </w:r>
      <w:hyperlink r:id="rId12" w:history="1">
        <w:r w:rsidRPr="001C0FCC">
          <w:rPr>
            <w:rFonts w:ascii="Segoe UI" w:eastAsia="Times New Roman" w:hAnsi="Segoe UI" w:cs="Segoe UI"/>
            <w:color w:val="0071BC"/>
            <w:sz w:val="24"/>
            <w:szCs w:val="24"/>
            <w:u w:val="single"/>
          </w:rPr>
          <w:t>AID 1719</w:t>
        </w:r>
      </w:hyperlink>
      <w:r w:rsidRPr="001C0FCC">
        <w:rPr>
          <w:rFonts w:ascii="Segoe UI" w:eastAsia="Times New Roman" w:hAnsi="Segoe UI" w:cs="Segoe UI"/>
          <w:color w:val="212121"/>
          <w:sz w:val="24"/>
          <w:szCs w:val="24"/>
        </w:rPr>
        <w:t>) to visualize the size and morphology of the remaining tau filaments.</w:t>
      </w:r>
    </w:p>
    <w:p w14:paraId="65098EB0" w14:textId="77777777" w:rsidR="001C0FCC" w:rsidRPr="001C0FCC" w:rsidRDefault="001C0FCC" w:rsidP="001C0FCC">
      <w:pPr>
        <w:shd w:val="clear" w:color="auto" w:fill="FFFFFF"/>
        <w:spacing w:after="0" w:line="240" w:lineRule="auto"/>
        <w:rPr>
          <w:rFonts w:ascii="Segoe UI" w:eastAsia="Times New Roman" w:hAnsi="Segoe UI" w:cs="Segoe UI"/>
          <w:color w:val="212121"/>
          <w:sz w:val="24"/>
          <w:szCs w:val="24"/>
        </w:rPr>
      </w:pPr>
    </w:p>
    <w:p w14:paraId="2AEA895A" w14:textId="3AB3D7B8" w:rsidR="001C0FCC" w:rsidRDefault="001C0FCC" w:rsidP="001C0FCC">
      <w:pPr>
        <w:shd w:val="clear" w:color="auto" w:fill="FFFFFF"/>
        <w:spacing w:after="0" w:line="240" w:lineRule="auto"/>
        <w:rPr>
          <w:rFonts w:ascii="Segoe UI" w:eastAsia="Times New Roman" w:hAnsi="Segoe UI" w:cs="Segoe UI"/>
          <w:color w:val="212121"/>
          <w:sz w:val="24"/>
          <w:szCs w:val="24"/>
        </w:rPr>
      </w:pPr>
      <w:r w:rsidRPr="001C0FCC">
        <w:rPr>
          <w:rFonts w:ascii="Segoe UI" w:eastAsia="Times New Roman" w:hAnsi="Segoe UI" w:cs="Segoe UI"/>
          <w:color w:val="212121"/>
          <w:sz w:val="24"/>
          <w:szCs w:val="24"/>
        </w:rPr>
        <w:t xml:space="preserve">An </w:t>
      </w:r>
      <w:proofErr w:type="spellStart"/>
      <w:r w:rsidRPr="001C0FCC">
        <w:rPr>
          <w:rFonts w:ascii="Segoe UI" w:eastAsia="Times New Roman" w:hAnsi="Segoe UI" w:cs="Segoe UI"/>
          <w:color w:val="212121"/>
          <w:sz w:val="24"/>
          <w:szCs w:val="24"/>
        </w:rPr>
        <w:t>aminothienopyridazine</w:t>
      </w:r>
      <w:proofErr w:type="spellEnd"/>
      <w:r w:rsidRPr="001C0FCC">
        <w:rPr>
          <w:rFonts w:ascii="Segoe UI" w:eastAsia="Times New Roman" w:hAnsi="Segoe UI" w:cs="Segoe UI"/>
          <w:color w:val="212121"/>
          <w:sz w:val="24"/>
          <w:szCs w:val="24"/>
        </w:rPr>
        <w:t xml:space="preserve"> series that showed good performance in the follow-up assays and suitable chemical tractability was chosen for probe optimization. Analogs from this series were tested in several secondary assays to determine the selectivity of tau filament inhibition. The analogs did not inhibit tau-mediated microtubule assembly (</w:t>
      </w:r>
      <w:hyperlink r:id="rId13" w:history="1">
        <w:r w:rsidRPr="001C0FCC">
          <w:rPr>
            <w:rFonts w:ascii="Segoe UI" w:eastAsia="Times New Roman" w:hAnsi="Segoe UI" w:cs="Segoe UI"/>
            <w:color w:val="0071BC"/>
            <w:sz w:val="24"/>
            <w:szCs w:val="24"/>
            <w:u w:val="single"/>
          </w:rPr>
          <w:t>AID 1709</w:t>
        </w:r>
      </w:hyperlink>
      <w:r w:rsidRPr="001C0FCC">
        <w:rPr>
          <w:rFonts w:ascii="Segoe UI" w:eastAsia="Times New Roman" w:hAnsi="Segoe UI" w:cs="Segoe UI"/>
          <w:color w:val="212121"/>
          <w:sz w:val="24"/>
          <w:szCs w:val="24"/>
        </w:rPr>
        <w:t xml:space="preserve">) or filament formation of the beta-amyloid protein fragment, </w:t>
      </w:r>
      <w:proofErr w:type="spellStart"/>
      <w:r w:rsidRPr="001C0FCC">
        <w:rPr>
          <w:rFonts w:ascii="Segoe UI" w:eastAsia="Times New Roman" w:hAnsi="Segoe UI" w:cs="Segoe UI"/>
          <w:color w:val="212121"/>
          <w:sz w:val="24"/>
          <w:szCs w:val="24"/>
        </w:rPr>
        <w:t>Abeta</w:t>
      </w:r>
      <w:proofErr w:type="spellEnd"/>
      <w:r w:rsidRPr="001C0FCC">
        <w:rPr>
          <w:rFonts w:ascii="Segoe UI" w:eastAsia="Times New Roman" w:hAnsi="Segoe UI" w:cs="Segoe UI"/>
          <w:color w:val="212121"/>
          <w:sz w:val="24"/>
          <w:szCs w:val="24"/>
        </w:rPr>
        <w:t xml:space="preserve"> 1-42 (</w:t>
      </w:r>
      <w:hyperlink r:id="rId14" w:history="1">
        <w:r w:rsidRPr="001C0FCC">
          <w:rPr>
            <w:rFonts w:ascii="Segoe UI" w:eastAsia="Times New Roman" w:hAnsi="Segoe UI" w:cs="Segoe UI"/>
            <w:color w:val="0071BC"/>
            <w:sz w:val="24"/>
            <w:szCs w:val="24"/>
            <w:u w:val="single"/>
          </w:rPr>
          <w:t>AID 1712</w:t>
        </w:r>
      </w:hyperlink>
      <w:r w:rsidRPr="001C0FCC">
        <w:rPr>
          <w:rFonts w:ascii="Segoe UI" w:eastAsia="Times New Roman" w:hAnsi="Segoe UI" w:cs="Segoe UI"/>
          <w:color w:val="212121"/>
          <w:sz w:val="24"/>
          <w:szCs w:val="24"/>
        </w:rPr>
        <w:t>). Series members showed little or no inhibition in a caspase-1 enzymatic assay (</w:t>
      </w:r>
      <w:hyperlink r:id="rId15" w:history="1">
        <w:r w:rsidRPr="001C0FCC">
          <w:rPr>
            <w:rFonts w:ascii="Segoe UI" w:eastAsia="Times New Roman" w:hAnsi="Segoe UI" w:cs="Segoe UI"/>
            <w:color w:val="0071BC"/>
            <w:sz w:val="24"/>
            <w:szCs w:val="24"/>
            <w:u w:val="single"/>
          </w:rPr>
          <w:t>AID 1711</w:t>
        </w:r>
      </w:hyperlink>
      <w:r w:rsidRPr="001C0FCC">
        <w:rPr>
          <w:rFonts w:ascii="Segoe UI" w:eastAsia="Times New Roman" w:hAnsi="Segoe UI" w:cs="Segoe UI"/>
          <w:color w:val="212121"/>
          <w:sz w:val="24"/>
          <w:szCs w:val="24"/>
        </w:rPr>
        <w:t xml:space="preserve">), which is sensitive to nonspecific redox active compounds. These assays indicated the </w:t>
      </w:r>
      <w:proofErr w:type="spellStart"/>
      <w:r w:rsidRPr="001C0FCC">
        <w:rPr>
          <w:rFonts w:ascii="Segoe UI" w:eastAsia="Times New Roman" w:hAnsi="Segoe UI" w:cs="Segoe UI"/>
          <w:color w:val="212121"/>
          <w:sz w:val="24"/>
          <w:szCs w:val="24"/>
        </w:rPr>
        <w:t>aminothienopyridazine</w:t>
      </w:r>
      <w:proofErr w:type="spellEnd"/>
      <w:r w:rsidRPr="001C0FCC">
        <w:rPr>
          <w:rFonts w:ascii="Segoe UI" w:eastAsia="Times New Roman" w:hAnsi="Segoe UI" w:cs="Segoe UI"/>
          <w:color w:val="212121"/>
          <w:sz w:val="24"/>
          <w:szCs w:val="24"/>
        </w:rPr>
        <w:t xml:space="preserve"> series were selective inhibitors of tau filament formation in vitro. The most active compound (ML103) from this series was nominated as the probe for Tau fibril inhibition.</w:t>
      </w:r>
    </w:p>
    <w:p w14:paraId="20678942" w14:textId="77777777" w:rsidR="001C0FCC" w:rsidRPr="001C0FCC" w:rsidRDefault="001C0FCC" w:rsidP="001C0FCC">
      <w:pPr>
        <w:shd w:val="clear" w:color="auto" w:fill="FFFFFF"/>
        <w:spacing w:after="0" w:line="240" w:lineRule="auto"/>
        <w:rPr>
          <w:rFonts w:ascii="Segoe UI" w:eastAsia="Times New Roman" w:hAnsi="Segoe UI" w:cs="Segoe UI"/>
          <w:color w:val="212121"/>
          <w:sz w:val="24"/>
          <w:szCs w:val="24"/>
        </w:rPr>
      </w:pPr>
    </w:p>
    <w:p w14:paraId="02A3FF11" w14:textId="3F097388" w:rsidR="001C0FCC" w:rsidRDefault="001C0FCC" w:rsidP="001C0FCC">
      <w:pPr>
        <w:shd w:val="clear" w:color="auto" w:fill="FFFFFF"/>
        <w:spacing w:after="0" w:line="240" w:lineRule="auto"/>
        <w:rPr>
          <w:rFonts w:ascii="Segoe UI" w:eastAsia="Times New Roman" w:hAnsi="Segoe UI" w:cs="Segoe UI"/>
          <w:color w:val="212121"/>
          <w:sz w:val="24"/>
          <w:szCs w:val="24"/>
        </w:rPr>
      </w:pPr>
      <w:proofErr w:type="spellStart"/>
      <w:r w:rsidRPr="001C0FCC">
        <w:rPr>
          <w:rFonts w:ascii="Segoe UI" w:eastAsia="Times New Roman" w:hAnsi="Segoe UI" w:cs="Segoe UI"/>
          <w:color w:val="212121"/>
          <w:sz w:val="24"/>
          <w:szCs w:val="24"/>
        </w:rPr>
        <w:t>Gustke</w:t>
      </w:r>
      <w:proofErr w:type="spellEnd"/>
      <w:r w:rsidRPr="001C0FCC">
        <w:rPr>
          <w:rFonts w:ascii="Segoe UI" w:eastAsia="Times New Roman" w:hAnsi="Segoe UI" w:cs="Segoe UI"/>
          <w:color w:val="212121"/>
          <w:sz w:val="24"/>
          <w:szCs w:val="24"/>
        </w:rPr>
        <w:t xml:space="preserve">, N., B. </w:t>
      </w:r>
      <w:proofErr w:type="spellStart"/>
      <w:r w:rsidRPr="001C0FCC">
        <w:rPr>
          <w:rFonts w:ascii="Segoe UI" w:eastAsia="Times New Roman" w:hAnsi="Segoe UI" w:cs="Segoe UI"/>
          <w:color w:val="212121"/>
          <w:sz w:val="24"/>
          <w:szCs w:val="24"/>
        </w:rPr>
        <w:t>Trinczek</w:t>
      </w:r>
      <w:proofErr w:type="spellEnd"/>
      <w:r w:rsidRPr="001C0FCC">
        <w:rPr>
          <w:rFonts w:ascii="Segoe UI" w:eastAsia="Times New Roman" w:hAnsi="Segoe UI" w:cs="Segoe UI"/>
          <w:color w:val="212121"/>
          <w:sz w:val="24"/>
          <w:szCs w:val="24"/>
        </w:rPr>
        <w:t>, et al. (1994). "Domains of tau protein and interactions with microtubules." Biochemistry 33(32): 9511-22.</w:t>
      </w:r>
    </w:p>
    <w:p w14:paraId="68A1F7FA" w14:textId="77777777" w:rsidR="001C0FCC" w:rsidRPr="001C0FCC" w:rsidRDefault="001C0FCC" w:rsidP="001C0FCC">
      <w:pPr>
        <w:shd w:val="clear" w:color="auto" w:fill="FFFFFF"/>
        <w:spacing w:after="0" w:line="240" w:lineRule="auto"/>
        <w:rPr>
          <w:rFonts w:ascii="Segoe UI" w:eastAsia="Times New Roman" w:hAnsi="Segoe UI" w:cs="Segoe UI"/>
          <w:color w:val="212121"/>
          <w:sz w:val="24"/>
          <w:szCs w:val="24"/>
        </w:rPr>
      </w:pPr>
    </w:p>
    <w:p w14:paraId="687CD995" w14:textId="28B32E47" w:rsidR="001C0FCC" w:rsidRDefault="001C0FCC" w:rsidP="001C0FCC">
      <w:pPr>
        <w:shd w:val="clear" w:color="auto" w:fill="FFFFFF"/>
        <w:spacing w:after="0" w:line="240" w:lineRule="auto"/>
        <w:rPr>
          <w:rFonts w:ascii="Segoe UI" w:eastAsia="Times New Roman" w:hAnsi="Segoe UI" w:cs="Segoe UI"/>
          <w:color w:val="212121"/>
          <w:sz w:val="24"/>
          <w:szCs w:val="24"/>
        </w:rPr>
      </w:pPr>
      <w:r w:rsidRPr="001C0FCC">
        <w:rPr>
          <w:rFonts w:ascii="Segoe UI" w:eastAsia="Times New Roman" w:hAnsi="Segoe UI" w:cs="Segoe UI"/>
          <w:color w:val="212121"/>
          <w:sz w:val="24"/>
          <w:szCs w:val="24"/>
        </w:rPr>
        <w:t xml:space="preserve">Hong, M., V. </w:t>
      </w:r>
      <w:proofErr w:type="spellStart"/>
      <w:r w:rsidRPr="001C0FCC">
        <w:rPr>
          <w:rFonts w:ascii="Segoe UI" w:eastAsia="Times New Roman" w:hAnsi="Segoe UI" w:cs="Segoe UI"/>
          <w:color w:val="212121"/>
          <w:sz w:val="24"/>
          <w:szCs w:val="24"/>
        </w:rPr>
        <w:t>Zhukareva</w:t>
      </w:r>
      <w:proofErr w:type="spellEnd"/>
      <w:r w:rsidRPr="001C0FCC">
        <w:rPr>
          <w:rFonts w:ascii="Segoe UI" w:eastAsia="Times New Roman" w:hAnsi="Segoe UI" w:cs="Segoe UI"/>
          <w:color w:val="212121"/>
          <w:sz w:val="24"/>
          <w:szCs w:val="24"/>
        </w:rPr>
        <w:t>, et al. (1998). "Mutation-specific functional impairments in distinct tau isoforms of hereditary FTDP-17." Science 282(5395): 1914-7.</w:t>
      </w:r>
    </w:p>
    <w:p w14:paraId="7D032850" w14:textId="77777777" w:rsidR="001C0FCC" w:rsidRPr="001C0FCC" w:rsidRDefault="001C0FCC" w:rsidP="001C0FCC">
      <w:pPr>
        <w:shd w:val="clear" w:color="auto" w:fill="FFFFFF"/>
        <w:spacing w:after="0" w:line="240" w:lineRule="auto"/>
        <w:rPr>
          <w:rFonts w:ascii="Segoe UI" w:eastAsia="Times New Roman" w:hAnsi="Segoe UI" w:cs="Segoe UI"/>
          <w:color w:val="212121"/>
          <w:sz w:val="24"/>
          <w:szCs w:val="24"/>
        </w:rPr>
      </w:pPr>
    </w:p>
    <w:p w14:paraId="18B421FE" w14:textId="77777777" w:rsidR="001C0FCC" w:rsidRPr="001C0FCC" w:rsidRDefault="001C0FCC" w:rsidP="001C0FCC">
      <w:pPr>
        <w:shd w:val="clear" w:color="auto" w:fill="FFFFFF"/>
        <w:spacing w:after="0" w:line="240" w:lineRule="auto"/>
        <w:rPr>
          <w:rFonts w:ascii="Segoe UI" w:eastAsia="Times New Roman" w:hAnsi="Segoe UI" w:cs="Segoe UI"/>
          <w:color w:val="212121"/>
          <w:sz w:val="24"/>
          <w:szCs w:val="24"/>
        </w:rPr>
      </w:pPr>
      <w:r w:rsidRPr="001C0FCC">
        <w:rPr>
          <w:rFonts w:ascii="Segoe UI" w:eastAsia="Times New Roman" w:hAnsi="Segoe UI" w:cs="Segoe UI"/>
          <w:color w:val="212121"/>
          <w:sz w:val="24"/>
          <w:szCs w:val="24"/>
        </w:rPr>
        <w:t xml:space="preserve">Inglese, J, Auld, DS, Jadhav, A, Johnson, RL, </w:t>
      </w:r>
      <w:proofErr w:type="spellStart"/>
      <w:r w:rsidRPr="001C0FCC">
        <w:rPr>
          <w:rFonts w:ascii="Segoe UI" w:eastAsia="Times New Roman" w:hAnsi="Segoe UI" w:cs="Segoe UI"/>
          <w:color w:val="212121"/>
          <w:sz w:val="24"/>
          <w:szCs w:val="24"/>
        </w:rPr>
        <w:t>Simeonov</w:t>
      </w:r>
      <w:proofErr w:type="spellEnd"/>
      <w:r w:rsidRPr="001C0FCC">
        <w:rPr>
          <w:rFonts w:ascii="Segoe UI" w:eastAsia="Times New Roman" w:hAnsi="Segoe UI" w:cs="Segoe UI"/>
          <w:color w:val="212121"/>
          <w:sz w:val="24"/>
          <w:szCs w:val="24"/>
        </w:rPr>
        <w:t xml:space="preserve">, A, </w:t>
      </w:r>
      <w:proofErr w:type="spellStart"/>
      <w:r w:rsidRPr="001C0FCC">
        <w:rPr>
          <w:rFonts w:ascii="Segoe UI" w:eastAsia="Times New Roman" w:hAnsi="Segoe UI" w:cs="Segoe UI"/>
          <w:color w:val="212121"/>
          <w:sz w:val="24"/>
          <w:szCs w:val="24"/>
        </w:rPr>
        <w:t>Yasgar</w:t>
      </w:r>
      <w:proofErr w:type="spellEnd"/>
      <w:r w:rsidRPr="001C0FCC">
        <w:rPr>
          <w:rFonts w:ascii="Segoe UI" w:eastAsia="Times New Roman" w:hAnsi="Segoe UI" w:cs="Segoe UI"/>
          <w:color w:val="212121"/>
          <w:sz w:val="24"/>
          <w:szCs w:val="24"/>
        </w:rPr>
        <w:t xml:space="preserve">, A, Zheng, W, Austin, CP (2006). Quantitative high-throughput screening: a titration-based approach that efficiently identifies biological activities in large chemical libraries. Proc Natl </w:t>
      </w:r>
      <w:proofErr w:type="spellStart"/>
      <w:r w:rsidRPr="001C0FCC">
        <w:rPr>
          <w:rFonts w:ascii="Segoe UI" w:eastAsia="Times New Roman" w:hAnsi="Segoe UI" w:cs="Segoe UI"/>
          <w:color w:val="212121"/>
          <w:sz w:val="24"/>
          <w:szCs w:val="24"/>
        </w:rPr>
        <w:t>Acad</w:t>
      </w:r>
      <w:proofErr w:type="spellEnd"/>
      <w:r w:rsidRPr="001C0FCC">
        <w:rPr>
          <w:rFonts w:ascii="Segoe UI" w:eastAsia="Times New Roman" w:hAnsi="Segoe UI" w:cs="Segoe UI"/>
          <w:color w:val="212121"/>
          <w:sz w:val="24"/>
          <w:szCs w:val="24"/>
        </w:rPr>
        <w:t xml:space="preserve"> Sci U S A 103: 11473-8.</w:t>
      </w:r>
    </w:p>
    <w:p w14:paraId="4CDCB48A" w14:textId="77777777" w:rsidR="0017469E" w:rsidRDefault="0017469E"/>
    <w:sectPr w:rsidR="00174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A5629"/>
    <w:multiLevelType w:val="hybridMultilevel"/>
    <w:tmpl w:val="38348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9535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FCC"/>
    <w:rsid w:val="000E27F5"/>
    <w:rsid w:val="0017469E"/>
    <w:rsid w:val="001C0FCC"/>
    <w:rsid w:val="001C6C05"/>
    <w:rsid w:val="00E5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005CA"/>
  <w15:chartTrackingRefBased/>
  <w15:docId w15:val="{6AFA3BAA-0FB8-4BB4-9653-63B76F400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0F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C0F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FC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C0FCC"/>
    <w:rPr>
      <w:rFonts w:ascii="Times New Roman" w:eastAsia="Times New Roman" w:hAnsi="Times New Roman" w:cs="Times New Roman"/>
      <w:b/>
      <w:bCs/>
      <w:sz w:val="36"/>
      <w:szCs w:val="36"/>
    </w:rPr>
  </w:style>
  <w:style w:type="character" w:customStyle="1" w:styleId="breakword">
    <w:name w:val="breakword"/>
    <w:basedOn w:val="DefaultParagraphFont"/>
    <w:rsid w:val="001C0FCC"/>
  </w:style>
  <w:style w:type="character" w:customStyle="1" w:styleId="sr-only">
    <w:name w:val="sr-only"/>
    <w:basedOn w:val="DefaultParagraphFont"/>
    <w:rsid w:val="001C0FCC"/>
  </w:style>
  <w:style w:type="paragraph" w:styleId="NormalWeb">
    <w:name w:val="Normal (Web)"/>
    <w:basedOn w:val="Normal"/>
    <w:uiPriority w:val="99"/>
    <w:semiHidden/>
    <w:unhideWhenUsed/>
    <w:rsid w:val="001C0F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C0FCC"/>
    <w:rPr>
      <w:color w:val="0000FF"/>
      <w:u w:val="single"/>
    </w:rPr>
  </w:style>
  <w:style w:type="paragraph" w:styleId="ListParagraph">
    <w:name w:val="List Paragraph"/>
    <w:basedOn w:val="Normal"/>
    <w:uiPriority w:val="34"/>
    <w:qFormat/>
    <w:rsid w:val="001C0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653725">
      <w:bodyDiv w:val="1"/>
      <w:marLeft w:val="0"/>
      <w:marRight w:val="0"/>
      <w:marTop w:val="0"/>
      <w:marBottom w:val="0"/>
      <w:divBdr>
        <w:top w:val="none" w:sz="0" w:space="0" w:color="auto"/>
        <w:left w:val="none" w:sz="0" w:space="0" w:color="auto"/>
        <w:bottom w:val="none" w:sz="0" w:space="0" w:color="auto"/>
        <w:right w:val="none" w:sz="0" w:space="0" w:color="auto"/>
      </w:divBdr>
      <w:divsChild>
        <w:div w:id="385840165">
          <w:marLeft w:val="0"/>
          <w:marRight w:val="0"/>
          <w:marTop w:val="0"/>
          <w:marBottom w:val="0"/>
          <w:divBdr>
            <w:top w:val="none" w:sz="0" w:space="0" w:color="auto"/>
            <w:left w:val="none" w:sz="0" w:space="0" w:color="auto"/>
            <w:bottom w:val="none" w:sz="0" w:space="0" w:color="auto"/>
            <w:right w:val="none" w:sz="0" w:space="0" w:color="auto"/>
          </w:divBdr>
          <w:divsChild>
            <w:div w:id="1038969068">
              <w:marLeft w:val="0"/>
              <w:marRight w:val="0"/>
              <w:marTop w:val="0"/>
              <w:marBottom w:val="0"/>
              <w:divBdr>
                <w:top w:val="none" w:sz="0" w:space="0" w:color="auto"/>
                <w:left w:val="none" w:sz="0" w:space="0" w:color="auto"/>
                <w:bottom w:val="none" w:sz="0" w:space="0" w:color="auto"/>
                <w:right w:val="none" w:sz="0" w:space="0" w:color="auto"/>
              </w:divBdr>
            </w:div>
            <w:div w:id="1001086623">
              <w:marLeft w:val="0"/>
              <w:marRight w:val="0"/>
              <w:marTop w:val="0"/>
              <w:marBottom w:val="0"/>
              <w:divBdr>
                <w:top w:val="none" w:sz="0" w:space="0" w:color="auto"/>
                <w:left w:val="none" w:sz="0" w:space="0" w:color="auto"/>
                <w:bottom w:val="none" w:sz="0" w:space="0" w:color="auto"/>
                <w:right w:val="none" w:sz="0" w:space="0" w:color="auto"/>
              </w:divBdr>
            </w:div>
          </w:divsChild>
        </w:div>
        <w:div w:id="123162534">
          <w:marLeft w:val="0"/>
          <w:marRight w:val="0"/>
          <w:marTop w:val="0"/>
          <w:marBottom w:val="0"/>
          <w:divBdr>
            <w:top w:val="none" w:sz="0" w:space="0" w:color="auto"/>
            <w:left w:val="none" w:sz="0" w:space="0" w:color="auto"/>
            <w:bottom w:val="none" w:sz="0" w:space="0" w:color="auto"/>
            <w:right w:val="none" w:sz="0" w:space="0" w:color="auto"/>
          </w:divBdr>
          <w:divsChild>
            <w:div w:id="1321884289">
              <w:marLeft w:val="0"/>
              <w:marRight w:val="0"/>
              <w:marTop w:val="0"/>
              <w:marBottom w:val="0"/>
              <w:divBdr>
                <w:top w:val="none" w:sz="0" w:space="0" w:color="auto"/>
                <w:left w:val="none" w:sz="0" w:space="0" w:color="auto"/>
                <w:bottom w:val="none" w:sz="0" w:space="0" w:color="auto"/>
                <w:right w:val="none" w:sz="0" w:space="0" w:color="auto"/>
              </w:divBdr>
              <w:divsChild>
                <w:div w:id="1816558890">
                  <w:marLeft w:val="0"/>
                  <w:marRight w:val="0"/>
                  <w:marTop w:val="0"/>
                  <w:marBottom w:val="0"/>
                  <w:divBdr>
                    <w:top w:val="none" w:sz="0" w:space="0" w:color="auto"/>
                    <w:left w:val="none" w:sz="0" w:space="0" w:color="auto"/>
                    <w:bottom w:val="none" w:sz="0" w:space="0" w:color="auto"/>
                    <w:right w:val="none" w:sz="0" w:space="0" w:color="auto"/>
                  </w:divBdr>
                  <w:divsChild>
                    <w:div w:id="166238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59272">
              <w:marLeft w:val="0"/>
              <w:marRight w:val="0"/>
              <w:marTop w:val="0"/>
              <w:marBottom w:val="0"/>
              <w:divBdr>
                <w:top w:val="none" w:sz="0" w:space="0" w:color="auto"/>
                <w:left w:val="none" w:sz="0" w:space="0" w:color="auto"/>
                <w:bottom w:val="none" w:sz="0" w:space="0" w:color="auto"/>
                <w:right w:val="none" w:sz="0" w:space="0" w:color="auto"/>
              </w:divBdr>
              <w:divsChild>
                <w:div w:id="76056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chem.ncbi.nlm.nih.gov/bioassay/1558" TargetMode="External"/><Relationship Id="rId13" Type="http://schemas.openxmlformats.org/officeDocument/2006/relationships/hyperlink" Target="https://pubchem.ncbi.nlm.nih.gov/bioassay/1709" TargetMode="External"/><Relationship Id="rId3" Type="http://schemas.openxmlformats.org/officeDocument/2006/relationships/settings" Target="settings.xml"/><Relationship Id="rId7" Type="http://schemas.openxmlformats.org/officeDocument/2006/relationships/hyperlink" Target="https://pubchem.ncbi.nlm.nih.gov/bioassay/1463" TargetMode="External"/><Relationship Id="rId12" Type="http://schemas.openxmlformats.org/officeDocument/2006/relationships/hyperlink" Target="https://pubchem.ncbi.nlm.nih.gov/bioassay/171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ubchem.ncbi.nlm.nih.gov/bioassay/1468" TargetMode="External"/><Relationship Id="rId11" Type="http://schemas.openxmlformats.org/officeDocument/2006/relationships/hyperlink" Target="https://pubchem.ncbi.nlm.nih.gov/bioassay/1720" TargetMode="External"/><Relationship Id="rId5" Type="http://schemas.openxmlformats.org/officeDocument/2006/relationships/hyperlink" Target="https://pubchem.ncbi.nlm.nih.gov/bioassay/1460" TargetMode="External"/><Relationship Id="rId15" Type="http://schemas.openxmlformats.org/officeDocument/2006/relationships/hyperlink" Target="https://pubchem.ncbi.nlm.nih.gov/bioassay/1711" TargetMode="External"/><Relationship Id="rId10" Type="http://schemas.openxmlformats.org/officeDocument/2006/relationships/hyperlink" Target="https://pubchem.ncbi.nlm.nih.gov/bioassay/1694" TargetMode="External"/><Relationship Id="rId4" Type="http://schemas.openxmlformats.org/officeDocument/2006/relationships/webSettings" Target="webSettings.xml"/><Relationship Id="rId9" Type="http://schemas.openxmlformats.org/officeDocument/2006/relationships/hyperlink" Target="https://pubchem.ncbi.nlm.nih.gov/bioassay/1559" TargetMode="External"/><Relationship Id="rId14" Type="http://schemas.openxmlformats.org/officeDocument/2006/relationships/hyperlink" Target="https://pubchem.ncbi.nlm.nih.gov/bioassay/17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734</Words>
  <Characters>4187</Characters>
  <Application>Microsoft Office Word</Application>
  <DocSecurity>0</DocSecurity>
  <Lines>34</Lines>
  <Paragraphs>9</Paragraphs>
  <ScaleCrop>false</ScaleCrop>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S ERICKSEN</dc:creator>
  <cp:keywords/>
  <dc:description/>
  <cp:lastModifiedBy>SPENCER S ERICKSEN</cp:lastModifiedBy>
  <cp:revision>2</cp:revision>
  <dcterms:created xsi:type="dcterms:W3CDTF">2023-02-01T20:47:00Z</dcterms:created>
  <dcterms:modified xsi:type="dcterms:W3CDTF">2023-03-22T20:24:00Z</dcterms:modified>
</cp:coreProperties>
</file>