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B0B0B"/>
          <w:sz w:val="40"/>
        </w:rPr>
        <w:t>Explaining the Spread: Decomposing an FX Quote in kdb+/q</w:t>
      </w:r>
    </w:p>
    <w:p>
      <w:pPr>
        <w:pBdr>
          <w:bottom w:val="single" w:sz="6" w:space="1" w:color="c3c2b7"/>
        </w:pBdr>
        <w:spacing w:after="200"/>
      </w:pPr>
    </w:p>
    <w:p>
      <w:pPr>
        <w:spacing w:before="280" w:after="120"/>
      </w:pPr>
      <w:r>
        <w:rPr>
          <w:b/>
          <w:color w:val="0B0B0B"/>
          <w:sz w:val="28"/>
        </w:rPr>
        <w:t>Summary</w:t>
      </w:r>
    </w:p>
    <w:p>
      <w:pPr>
        <w:spacing w:after="160"/>
      </w:pPr>
      <w:r>
        <w:rPr>
          <w:color w:val="3A3A38"/>
          <w:sz w:val="20"/>
        </w:rPr>
        <w:t>A pricing engine's quoted spread is never just one number — it's the sum of several named adjustments stacked on top of a reference level: a base markup, a client-tier skew, a volatility buffer, quote-stability smoothing, a fallback component, and a directional-signal adjustment. In the context of this article and the code: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Composition</w:t>
      </w:r>
      <w:r>
        <w:rPr>
          <w:color w:val="3A3A38"/>
          <w:sz w:val="20"/>
        </w:rPr>
        <w:t xml:space="preserve"> asks the simple direction: given the named components, what's the total quoted spread? A one-line row-wise sum.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Decomposition and aggregation</w:t>
      </w:r>
      <w:r>
        <w:rPr>
          <w:color w:val="3A3A38"/>
          <w:sz w:val="20"/>
        </w:rPr>
        <w:t xml:space="preserve"> ask the harder question: once you have thousands of quotes a day across symbols, aggression levels, and market regimes, how much of the spread is coming from </w:t>
      </w:r>
      <w:r>
        <w:rPr>
          <w:i/>
          <w:color w:val="3A3A38"/>
          <w:sz w:val="20"/>
        </w:rPr>
        <w:t>which</w:t>
      </w:r>
      <w:r>
        <w:rPr>
          <w:color w:val="3A3A38"/>
          <w:sz w:val="20"/>
        </w:rPr>
        <w:t xml:space="preserve"> component, on average, and does that hold up when you slice by time instead of by tag? Get the weighting wrong and every rollup lies.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Reconciliation</w:t>
      </w:r>
      <w:r>
        <w:rPr>
          <w:color w:val="3A3A38"/>
          <w:sz w:val="20"/>
        </w:rPr>
        <w:t xml:space="preserve"> asks a third question: is what the model quoted actually consistent with an independent reference — richer, cheaper, in line?</w:t>
      </w:r>
    </w:p>
    <w:p>
      <w:pPr>
        <w:spacing w:after="160"/>
      </w:pPr>
      <w:r>
        <w:rPr>
          <w:color w:val="3A3A38"/>
          <w:sz w:val="20"/>
        </w:rPr>
        <w:t xml:space="preserve">This is a different shape of problem to </w:t>
      </w:r>
      <w:r>
        <w:rPr>
          <w:color w:val="1C5CAB"/>
          <w:u w:val="single"/>
        </w:rPr>
        <w:t>markout / market impact</w:t>
      </w:r>
      <w:r>
        <w:rPr>
          <w:color w:val="3A3A38"/>
          <w:sz w:val="20"/>
        </w:rPr>
        <w:t xml:space="preserve">. There, the components are hidden — you observe a single noisy price curve after a trade and have to </w:t>
      </w:r>
      <w:r>
        <w:rPr>
          <w:i/>
          <w:color w:val="3A3A38"/>
          <w:sz w:val="20"/>
        </w:rPr>
        <w:t>infer</w:t>
      </w:r>
      <w:r>
        <w:rPr>
          <w:color w:val="3A3A38"/>
          <w:sz w:val="20"/>
        </w:rPr>
        <w:t xml:space="preserve"> a temporary/permanent split from it. Here, the components are already columns in the row the moment the quote is generated; nothing needs to be estimated. The engineering problem is entirely downstream: aggregating an additive decomposition without breaking the weighting, and checking the result against something outside the model.</w:t>
      </w:r>
    </w:p>
    <w:p>
      <w:pPr>
        <w:spacing w:before="280" w:after="120"/>
      </w:pPr>
      <w:r>
        <w:rPr>
          <w:b/>
          <w:color w:val="0B0B0B"/>
          <w:sz w:val="28"/>
        </w:rPr>
        <w:t>Repo</w:t>
      </w:r>
    </w:p>
    <w:p>
      <w:pPr>
        <w:pStyle w:val="ListBullet"/>
        <w:spacing w:after="80"/>
      </w:pPr>
      <w:r>
        <w:rPr>
          <w:color w:val="3A3A38"/>
          <w:sz w:val="20"/>
        </w:rPr>
        <w:t xml:space="preserve">The code discussed in this article is at: </w:t>
      </w:r>
      <w:r>
        <w:rPr>
          <w:b/>
          <w:color w:val="3A3A38"/>
          <w:sz w:val="20"/>
        </w:rPr>
        <w:t>https://github.com/SpencerFX/q-link</w:t>
      </w:r>
    </w:p>
    <w:p>
      <w:pPr>
        <w:pStyle w:val="ListBullet"/>
        <w:spacing w:after="80"/>
      </w:pPr>
      <w:r>
        <w:rPr>
          <w:color w:val="3A3A38"/>
          <w:sz w:val="20"/>
        </w:rPr>
        <w:t>To load the functions, synthetic data, and explore interactively: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q ./scripts/initSpread.q</w:t>
            </w:r>
          </w:p>
        </w:tc>
      </w:tr>
    </w:tbl>
    <w:p>
      <w:pPr>
        <w:spacing w:after="80"/>
      </w:pPr>
    </w:p>
    <w:p>
      <w:pPr>
        <w:pStyle w:val="ListBullet"/>
        <w:spacing w:after="80"/>
      </w:pPr>
      <w:r>
        <w:rPr>
          <w:color w:val="3A3A38"/>
          <w:sz w:val="20"/>
        </w:rPr>
        <w:t>To run the test suite (hard assertions, ground-truth checks included):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q ./test/testSpread.q</w:t>
            </w:r>
          </w:p>
        </w:tc>
      </w:tr>
    </w:tbl>
    <w:p>
      <w:pPr>
        <w:spacing w:after="80"/>
      </w:pPr>
    </w:p>
    <w:p>
      <w:pPr>
        <w:spacing w:before="280" w:after="120"/>
      </w:pPr>
      <w:r>
        <w:rPr>
          <w:b/>
          <w:color w:val="0B0B0B"/>
          <w:sz w:val="28"/>
        </w:rPr>
        <w:t>The component model</w:t>
      </w:r>
    </w:p>
    <w:p>
      <w:pPr>
        <w:spacing w:after="160"/>
      </w:pPr>
      <w:r>
        <w:rPr>
          <w:color w:val="3A3A38"/>
          <w:sz w:val="20"/>
        </w:rPr>
        <w:t>A quote is modelled as seven named components summing to a total: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.spread.componentCols:`refSprd`baseSprd`clientSprd`volSprd`smoothSprd`fallbackSprd`alphaSprd;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.spread.compose:{[tab]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update totalSprd:sum value flip .spread.componentCols#tab from tab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};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46"/>
            <w:shd w:val="clear" w:color="auto" w:fill="eef0ee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b/>
                <w:color w:val="0B0B0B"/>
                <w:sz w:val="18"/>
              </w:rPr>
              <w:t>Component</w:t>
            </w:r>
          </w:p>
        </w:tc>
        <w:tc>
          <w:tcPr>
            <w:tcW w:type="dxa" w:w="7114"/>
            <w:shd w:val="clear" w:color="auto" w:fill="eef0ee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b/>
                <w:color w:val="0B0B0B"/>
                <w:sz w:val="18"/>
              </w:rPr>
              <w:t>What it represents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refSprd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reference/baseline spread before any adjustment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baseSprd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core pricing-engine markup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clientSprd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client-tier/relationship skew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volSprd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volatility risk buffer — widens under elevated vol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smoothSprd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quote-stability smoothing — dampens jumps between quotes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fallbackSprd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supplemental buffer, used when other inputs are thin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alphaSprd</w:t>
            </w:r>
          </w:p>
        </w:tc>
        <w:tc>
          <w:tcPr>
            <w:tcW w:type="dxa" w:w="7114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directional-signal adjustment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color w:val="3A3A38"/>
          <w:sz w:val="20"/>
        </w:rPr>
        <w:t xml:space="preserve">As an equation: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=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baseSprd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clientSprd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smoothSprd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fallbackSprd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alphaSprd</w:t>
      </w:r>
      <w:r>
        <w:rPr>
          <w:color w:val="3A3A38"/>
          <w:sz w:val="20"/>
        </w:rPr>
        <w:t xml:space="preserve"> — or more generally,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= Σ over </w:t>
      </w:r>
      <w:r>
        <w:rPr>
          <w:rFonts w:ascii="Consolas" w:hAnsi="Consolas"/>
          <w:color w:val="1C5CAB"/>
          <w:sz w:val="19"/>
        </w:rPr>
        <w:t>componentCols</w:t>
      </w:r>
      <w:r>
        <w:rPr>
          <w:color w:val="3A3A38"/>
          <w:sz w:val="2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q)meta scenario`quotes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c           | t f a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------------| -----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time        | p   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sym         | 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aggression  | 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marketStatus| 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weight    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refSprd   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baseSprd  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clientSprd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volSprd   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smoothSprd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fallbackSprd|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alphaSprd   | f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totalSprd   | f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Consolas" w:hAnsi="Consolas"/>
          <w:color w:val="1C5CAB"/>
          <w:sz w:val="19"/>
        </w:rPr>
        <w:t>.spread.decompose</w:t>
      </w:r>
      <w:r>
        <w:rPr>
          <w:color w:val="3A3A38"/>
          <w:sz w:val="20"/>
        </w:rPr>
        <w:t xml:space="preserve"> melts that into one row per (quote, component) — the shape a stacked-bar or attribution view wants — and </w:t>
      </w:r>
      <w:r>
        <w:rPr>
          <w:rFonts w:ascii="Consolas" w:hAnsi="Consolas"/>
          <w:color w:val="1C5CAB"/>
          <w:sz w:val="19"/>
        </w:rPr>
        <w:t>.spread.waterfall</w:t>
      </w:r>
      <w:r>
        <w:rPr>
          <w:color w:val="3A3A38"/>
          <w:sz w:val="20"/>
        </w:rPr>
        <w:t xml:space="preserve"> appends a running cumulative column per component, so </w:t>
      </w:r>
      <w:r>
        <w:rPr>
          <w:rFonts w:ascii="Consolas" w:hAnsi="Consolas"/>
          <w:color w:val="1C5CAB"/>
          <w:sz w:val="19"/>
        </w:rPr>
        <w:t>cum_alphaSprd == totalSprd</w:t>
      </w:r>
      <w:r>
        <w:rPr>
          <w:color w:val="3A3A38"/>
          <w:sz w:val="20"/>
        </w:rPr>
        <w:t xml:space="preserve"> on every row by construction. Both are exact, not fitted: no residual, no goodness-of-fit statistic, because there's nothing being estimated.</w:t>
      </w:r>
    </w:p>
    <w:p>
      <w:pPr>
        <w:spacing w:after="160"/>
      </w:pPr>
      <w:r>
        <w:rPr>
          <w:color w:val="3A3A38"/>
          <w:sz w:val="20"/>
        </w:rPr>
        <w:t xml:space="preserve">For each component, </w:t>
      </w:r>
      <w:r>
        <w:rPr>
          <w:rFonts w:ascii="Consolas" w:hAnsi="Consolas"/>
          <w:color w:val="1C5CAB"/>
          <w:sz w:val="19"/>
        </w:rPr>
        <w:t>decompose</w:t>
      </w:r>
      <w:r>
        <w:rPr>
          <w:color w:val="3A3A38"/>
          <w:sz w:val="20"/>
        </w:rPr>
        <w:t xml:space="preserve"> computes </w:t>
      </w:r>
      <w:r>
        <w:rPr>
          <w:rFonts w:ascii="Consolas" w:hAnsi="Consolas"/>
          <w:color w:val="1C5CAB"/>
          <w:sz w:val="19"/>
        </w:rPr>
        <w:t>contributionBps</w:t>
      </w:r>
      <w:r>
        <w:rPr>
          <w:color w:val="3A3A38"/>
          <w:sz w:val="20"/>
        </w:rPr>
        <w:t xml:space="preserve"> = 1e4 × </w:t>
      </w:r>
      <w:r>
        <w:rPr>
          <w:rFonts w:ascii="Consolas" w:hAnsi="Consolas"/>
          <w:color w:val="1C5CAB"/>
          <w:sz w:val="19"/>
        </w:rPr>
        <w:t>componentValue</w:t>
      </w:r>
      <w:r>
        <w:rPr>
          <w:color w:val="3A3A38"/>
          <w:sz w:val="20"/>
        </w:rPr>
        <w:t xml:space="preserve">, and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= 100 × </w:t>
      </w:r>
      <w:r>
        <w:rPr>
          <w:rFonts w:ascii="Consolas" w:hAnsi="Consolas"/>
          <w:color w:val="1C5CAB"/>
          <w:sz w:val="19"/>
        </w:rPr>
        <w:t>componentValue</w:t>
      </w:r>
      <w:r>
        <w:rPr>
          <w:color w:val="3A3A38"/>
          <w:sz w:val="20"/>
        </w:rPr>
        <w:t xml:space="preserve"> ÷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. </w:t>
      </w:r>
      <w:r>
        <w:rPr>
          <w:rFonts w:ascii="Consolas" w:hAnsi="Consolas"/>
          <w:color w:val="1C5CAB"/>
          <w:sz w:val="19"/>
        </w:rPr>
        <w:t>waterfall</w:t>
      </w:r>
      <w:r>
        <w:rPr>
          <w:color w:val="3A3A38"/>
          <w:sz w:val="20"/>
        </w:rPr>
        <w:t xml:space="preserve">'s cumulative columns follow the same </w:t>
      </w:r>
      <w:r>
        <w:rPr>
          <w:rFonts w:ascii="Consolas" w:hAnsi="Consolas"/>
          <w:color w:val="1C5CAB"/>
          <w:sz w:val="19"/>
        </w:rPr>
        <w:t>componentCols</w:t>
      </w:r>
      <w:r>
        <w:rPr>
          <w:color w:val="3A3A38"/>
          <w:sz w:val="20"/>
        </w:rPr>
        <w:t xml:space="preserve"> order: </w:t>
      </w:r>
      <w:r>
        <w:rPr>
          <w:rFonts w:ascii="Consolas" w:hAnsi="Consolas"/>
          <w:color w:val="1C5CAB"/>
          <w:sz w:val="19"/>
        </w:rPr>
        <w:t>cum_refSprd</w:t>
      </w:r>
      <w:r>
        <w:rPr>
          <w:color w:val="3A3A38"/>
          <w:sz w:val="20"/>
        </w:rPr>
        <w:t xml:space="preserve"> =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, and each subsequent </w:t>
      </w:r>
      <w:r>
        <w:rPr>
          <w:rFonts w:ascii="Consolas" w:hAnsi="Consolas"/>
          <w:color w:val="1C5CAB"/>
          <w:sz w:val="19"/>
        </w:rPr>
        <w:t>cum_c</w:t>
      </w:r>
      <w:r>
        <w:rPr>
          <w:color w:val="3A3A38"/>
          <w:sz w:val="20"/>
        </w:rPr>
        <w:t xml:space="preserve"> = (previous </w:t>
      </w:r>
      <w:r>
        <w:rPr>
          <w:rFonts w:ascii="Consolas" w:hAnsi="Consolas"/>
          <w:color w:val="1C5CAB"/>
          <w:sz w:val="19"/>
        </w:rPr>
        <w:t>cum_c</w:t>
      </w:r>
      <w:r>
        <w:rPr>
          <w:color w:val="3A3A38"/>
          <w:sz w:val="20"/>
        </w:rPr>
        <w:t xml:space="preserve">) + </w:t>
      </w:r>
      <w:r>
        <w:rPr>
          <w:rFonts w:ascii="Consolas" w:hAnsi="Consolas"/>
          <w:color w:val="1C5CAB"/>
          <w:sz w:val="19"/>
        </w:rPr>
        <w:t>c</w:t>
      </w:r>
      <w:r>
        <w:rPr>
          <w:color w:val="3A3A38"/>
          <w:sz w:val="20"/>
        </w:rPr>
        <w:t xml:space="preserve">, so </w:t>
      </w:r>
      <w:r>
        <w:rPr>
          <w:rFonts w:ascii="Consolas" w:hAnsi="Consolas"/>
          <w:color w:val="1C5CAB"/>
          <w:sz w:val="19"/>
        </w:rPr>
        <w:t>cum_alphaSprd</w:t>
      </w:r>
      <w:r>
        <w:rPr>
          <w:color w:val="3A3A38"/>
          <w:sz w:val="20"/>
        </w:rPr>
        <w:t xml:space="preserve"> =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by construction — the invariant the tests assert.</w:t>
      </w:r>
    </w:p>
    <w:p>
      <w:pPr>
        <w:spacing w:before="280" w:after="120"/>
      </w:pPr>
      <w:r>
        <w:rPr>
          <w:b/>
          <w:color w:val="0B0B0B"/>
          <w:sz w:val="28"/>
        </w:rPr>
        <w:t>One weighting rule, three entry points</w:t>
      </w:r>
    </w:p>
    <w:p>
      <w:pPr>
        <w:spacing w:after="160"/>
      </w:pPr>
      <w:r>
        <w:rPr>
          <w:color w:val="3A3A38"/>
          <w:sz w:val="20"/>
        </w:rPr>
        <w:t xml:space="preserve">The part worth being careful about is aggregation. A single quote's spread means nothing on its own — the number that matters is the size-weighted average across many quotes, and that weighting has to be applied </w:t>
      </w:r>
      <w:r>
        <w:rPr>
          <w:i/>
          <w:color w:val="3A3A38"/>
          <w:sz w:val="20"/>
        </w:rPr>
        <w:t>consistently</w:t>
      </w:r>
      <w:r>
        <w:rPr>
          <w:color w:val="3A3A38"/>
          <w:sz w:val="20"/>
        </w:rPr>
        <w:t xml:space="preserve"> whether you're rolling up by regime, by time, or by nothing at all. Rather than writing that three times, one private helper builds the aggregate-column spec and every public rollup threads through it: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.spread.priv.wavgAggCols:{[wCols]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(`weight,wCols)!enlist[(sum;`weight)],{(wavg;`weight;x)} each wCols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};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.spread.wavgBy:{[tab;keyCols]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t:$[`totalSprd in cols tab;tab;.spread.compose tab];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wCols:.spread.componentCols,`totalSprd;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?[t;();keyCols!keyCols;.spread.priv.wavgAggCols wCols]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};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 xml:space="preserve">The formula behind every one of those aggregates, for weights 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 xml:space="preserve"> and values </w:t>
      </w:r>
      <w:r>
        <w:rPr>
          <w:i/>
          <w:color w:val="3A3A38"/>
          <w:sz w:val="20"/>
        </w:rPr>
        <w:t>x</w:t>
      </w:r>
      <w:r>
        <w:rPr>
          <w:color w:val="3A3A38"/>
          <w:sz w:val="20"/>
        </w:rPr>
        <w:t>: wavg = Σ(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>×</w:t>
      </w:r>
      <w:r>
        <w:rPr>
          <w:i/>
          <w:color w:val="3A3A38"/>
          <w:sz w:val="20"/>
        </w:rPr>
        <w:t>x</w:t>
      </w:r>
      <w:r>
        <w:rPr>
          <w:color w:val="3A3A38"/>
          <w:sz w:val="20"/>
        </w:rPr>
        <w:t>) ÷ Σ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 xml:space="preserve"> — exactly what q's built-in </w:t>
      </w:r>
      <w:r>
        <w:rPr>
          <w:rFonts w:ascii="Consolas" w:hAnsi="Consolas"/>
          <w:color w:val="1C5CAB"/>
          <w:sz w:val="19"/>
        </w:rPr>
        <w:t>wavg</w:t>
      </w:r>
      <w:r>
        <w:rPr>
          <w:color w:val="3A3A38"/>
          <w:sz w:val="20"/>
        </w:rPr>
        <w:t xml:space="preserve"> computes, applied independently to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and each of the seven components rather than to a plain unweighted mean.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wavgAggCols</w:t>
      </w:r>
      <w:r>
        <w:rPr>
          <w:color w:val="3A3A38"/>
          <w:sz w:val="20"/>
        </w:rPr>
        <w:t xml:space="preserve"> builds the spec as one direct key-vector/value-vector zip — </w:t>
      </w:r>
      <w:r>
        <w:rPr>
          <w:rFonts w:ascii="Consolas" w:hAnsi="Consolas"/>
          <w:color w:val="1C5CAB"/>
          <w:sz w:val="19"/>
        </w:rPr>
        <w:t>`weight,wCols</w:t>
      </w:r>
      <w:r>
        <w:rPr>
          <w:color w:val="3A3A38"/>
          <w:sz w:val="20"/>
        </w:rPr>
        <w:t xml:space="preserve"> for keys, </w:t>
      </w:r>
      <w:r>
        <w:rPr>
          <w:rFonts w:ascii="Consolas" w:hAnsi="Consolas"/>
          <w:color w:val="1C5CAB"/>
          <w:sz w:val="19"/>
        </w:rPr>
        <w:t>(sum;`weight)</w:t>
      </w:r>
      <w:r>
        <w:rPr>
          <w:color w:val="3A3A38"/>
          <w:sz w:val="20"/>
        </w:rPr>
        <w:t xml:space="preserve"> followed by one </w:t>
      </w:r>
      <w:r>
        <w:rPr>
          <w:rFonts w:ascii="Consolas" w:hAnsi="Consolas"/>
          <w:color w:val="1C5CAB"/>
          <w:sz w:val="19"/>
        </w:rPr>
        <w:t>(wavg;`weight;col)</w:t>
      </w:r>
      <w:r>
        <w:rPr>
          <w:color w:val="3A3A38"/>
          <w:sz w:val="20"/>
        </w:rPr>
        <w:t xml:space="preserve"> tuple per column for values — rather than building a one-item dict per column and unioning them. Same result, one dict allocation instead of </w:t>
      </w:r>
      <w:r>
        <w:rPr>
          <w:rFonts w:ascii="Consolas" w:hAnsi="Consolas"/>
          <w:color w:val="1C5CAB"/>
          <w:sz w:val="19"/>
        </w:rPr>
        <w:t>count[wCols]+1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.spread.byTime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.spread.byRegime</w:t>
      </w:r>
      <w:r>
        <w:rPr>
          <w:color w:val="3A3A38"/>
          <w:sz w:val="20"/>
        </w:rPr>
        <w:t xml:space="preserve"> are both a handful of lines on top of the same helper —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swaps in a time-bucket parse-tree as the group-by key, </w:t>
      </w:r>
      <w:r>
        <w:rPr>
          <w:rFonts w:ascii="Consolas" w:hAnsi="Consolas"/>
          <w:color w:val="1C5CAB"/>
          <w:sz w:val="19"/>
        </w:rPr>
        <w:t>byRegime</w:t>
      </w:r>
      <w:r>
        <w:rPr>
          <w:color w:val="3A3A38"/>
          <w:sz w:val="20"/>
        </w:rPr>
        <w:t xml:space="preserve"> just calls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 with whatever regime columns the caller passes it (e.g. </w:t>
      </w:r>
      <w:r>
        <w:rPr>
          <w:rFonts w:ascii="Consolas" w:hAnsi="Consolas"/>
          <w:color w:val="1C5CAB"/>
          <w:sz w:val="19"/>
        </w:rPr>
        <w:t>`aggression`marketStatus</w:t>
      </w:r>
      <w:r>
        <w:rPr>
          <w:color w:val="3A3A38"/>
          <w:sz w:val="20"/>
        </w:rPr>
        <w:t>) prepended to any extra keys. One weighting convention, three ways to slice it.</w:t>
      </w:r>
    </w:p>
    <w:p>
      <w:pPr>
        <w:spacing w:before="280" w:after="120"/>
      </w:pPr>
      <w:r>
        <w:rPr>
          <w:b/>
          <w:color w:val="0B0B0B"/>
          <w:sz w:val="28"/>
        </w:rPr>
        <w:t>On data</w:t>
      </w:r>
    </w:p>
    <w:p>
      <w:pPr>
        <w:spacing w:after="160"/>
      </w:pPr>
      <w:r>
        <w:rPr>
          <w:color w:val="3A3A38"/>
          <w:sz w:val="20"/>
        </w:rPr>
        <w:t xml:space="preserve">To check the aggregation and reconciliation logic against a known answer rather than plausible-looking output, </w:t>
      </w:r>
      <w:r>
        <w:rPr>
          <w:rFonts w:ascii="Consolas" w:hAnsi="Consolas"/>
          <w:color w:val="1C5CAB"/>
          <w:sz w:val="19"/>
        </w:rPr>
        <w:t>data/spreadGenerator.q</w:t>
      </w:r>
      <w:r>
        <w:rPr>
          <w:color w:val="3A3A38"/>
          <w:sz w:val="20"/>
        </w:rPr>
        <w:t xml:space="preserve"> builds a synthetic session with three effects injected in advance: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A market-status regime shift.</w:t>
      </w:r>
      <w:r>
        <w:rPr>
          <w:color w:val="3A3A38"/>
          <w:sz w:val="20"/>
        </w:rPr>
        <w:t xml:space="preserve"> The first half of the session is tagged </w:t>
      </w:r>
      <w:r>
        <w:rPr>
          <w:rFonts w:ascii="Consolas" w:hAnsi="Consolas"/>
          <w:color w:val="1C5CAB"/>
          <w:sz w:val="19"/>
        </w:rPr>
        <w:t>normal</w:t>
      </w:r>
      <w:r>
        <w:rPr>
          <w:color w:val="3A3A38"/>
          <w:sz w:val="20"/>
        </w:rPr>
        <w:t xml:space="preserve">, the second half </w:t>
      </w:r>
      <w:r>
        <w:rPr>
          <w:rFonts w:ascii="Consolas" w:hAnsi="Consolas"/>
          <w:color w:val="1C5CAB"/>
          <w:sz w:val="19"/>
        </w:rPr>
        <w:t>stressed</w:t>
      </w:r>
      <w:r>
        <w:rPr>
          <w:color w:val="3A3A38"/>
          <w:sz w:val="20"/>
        </w:rPr>
        <w:t xml:space="preserve">, and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is multiplied by a known factor (</w:t>
      </w:r>
      <w:r>
        <w:rPr>
          <w:b/>
          <w:color w:val="3A3A38"/>
          <w:sz w:val="20"/>
        </w:rPr>
        <w:t>4.0x</w:t>
      </w:r>
      <w:r>
        <w:rPr>
          <w:color w:val="3A3A38"/>
          <w:sz w:val="20"/>
        </w:rPr>
        <w:t>) for every stressed quote. Nothing else is touched.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An aggression tightening.</w:t>
      </w:r>
      <w:r>
        <w:rPr>
          <w:color w:val="3A3A38"/>
          <w:sz w:val="20"/>
        </w:rPr>
        <w:t xml:space="preserve"> </w:t>
      </w:r>
      <w:r>
        <w:rPr>
          <w:rFonts w:ascii="Consolas" w:hAnsi="Consolas"/>
          <w:color w:val="1C5CAB"/>
          <w:sz w:val="19"/>
        </w:rPr>
        <w:t>baseSprd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clientSprd</w:t>
      </w:r>
      <w:r>
        <w:rPr>
          <w:color w:val="3A3A38"/>
          <w:sz w:val="20"/>
        </w:rPr>
        <w:t xml:space="preserve"> scale by a known per-aggression-level multiplier (</w:t>
      </w:r>
      <w:r>
        <w:rPr>
          <w:rFonts w:ascii="Consolas" w:hAnsi="Consolas"/>
          <w:color w:val="1C5CAB"/>
          <w:sz w:val="19"/>
        </w:rPr>
        <w:t>low</w:t>
      </w:r>
      <w:r>
        <w:rPr>
          <w:color w:val="3A3A38"/>
          <w:sz w:val="20"/>
        </w:rPr>
        <w:t xml:space="preserve">=1.0, </w:t>
      </w:r>
      <w:r>
        <w:rPr>
          <w:rFonts w:ascii="Consolas" w:hAnsi="Consolas"/>
          <w:color w:val="1C5CAB"/>
          <w:sz w:val="19"/>
        </w:rPr>
        <w:t>medium</w:t>
      </w:r>
      <w:r>
        <w:rPr>
          <w:color w:val="3A3A38"/>
          <w:sz w:val="20"/>
        </w:rPr>
        <w:t xml:space="preserve">=0.7, </w:t>
      </w:r>
      <w:r>
        <w:rPr>
          <w:rFonts w:ascii="Consolas" w:hAnsi="Consolas"/>
          <w:color w:val="1C5CAB"/>
          <w:sz w:val="19"/>
        </w:rPr>
        <w:t>high</w:t>
      </w:r>
      <w:r>
        <w:rPr>
          <w:color w:val="3A3A38"/>
          <w:sz w:val="20"/>
        </w:rPr>
        <w:t>=0.4) — more aggressive pricing quotes tighter.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An independent benchmark series</w:t>
      </w:r>
      <w:r>
        <w:rPr>
          <w:color w:val="3A3A38"/>
          <w:sz w:val="20"/>
        </w:rPr>
        <w:t xml:space="preserve"> built from the model's own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minus a known constant offset (</w:t>
      </w:r>
      <w:r>
        <w:rPr>
          <w:b/>
          <w:color w:val="3A3A38"/>
          <w:sz w:val="20"/>
        </w:rPr>
        <w:t>0.05</w:t>
      </w:r>
      <w:r>
        <w:rPr>
          <w:color w:val="3A3A38"/>
          <w:sz w:val="20"/>
        </w:rPr>
        <w:t xml:space="preserve"> price units, i.e. 500 on the </w:t>
      </w:r>
      <w:r>
        <w:rPr>
          <w:rFonts w:ascii="Consolas" w:hAnsi="Consolas"/>
          <w:color w:val="1C5CAB"/>
          <w:sz w:val="19"/>
        </w:rPr>
        <w:t>1e4*</w:t>
      </w:r>
      <w:r>
        <w:rPr>
          <w:color w:val="3A3A38"/>
          <w:sz w:val="20"/>
        </w:rPr>
        <w:t xml:space="preserve"> bps convention </w:t>
      </w: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 uses) plus noise — standing in for a rate the model didn't produce itself, for testing reconciliation.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stressFactor:?[marketStatus=`stressed;.spreadSynth.config.stressVolMult;1f];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volSprd:0.1*baseLevel*stressFactor*noise[n];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...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benchmark:update benchmarkSprd:totalSprd-richness+0.01*.spreadSynth.priv.randNorm[n]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from select time,sym,totalSprd from quotes;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>Note: this generator isn't a model of how a real pricing engine actually sets a spread — it's a controlled way to know the right answer in advance, the same role GBM plays in the markout/impact piece's synthetic rate series.</w:t>
      </w:r>
    </w:p>
    <w:p>
      <w:pPr>
        <w:spacing w:before="280" w:after="120"/>
      </w:pPr>
      <w:r>
        <w:rPr>
          <w:b/>
          <w:color w:val="0B0B0B"/>
          <w:sz w:val="28"/>
        </w:rPr>
        <w:t>Interpreting the results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scripts/initSpread.q</w:t>
      </w:r>
      <w:r>
        <w:rPr>
          <w:color w:val="3A3A38"/>
          <w:sz w:val="20"/>
        </w:rPr>
        <w:t xml:space="preserve"> builds a 6,000-quote synthetic session (3 symbols, 3 aggression levels, two regimes), runs it through </w:t>
      </w:r>
      <w:r>
        <w:rPr>
          <w:rFonts w:ascii="Consolas" w:hAnsi="Consolas"/>
          <w:color w:val="1C5CAB"/>
          <w:sz w:val="19"/>
        </w:rPr>
        <w:t>.spread.wavgBy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, and leaves </w:t>
      </w:r>
      <w:r>
        <w:rPr>
          <w:rFonts w:ascii="Consolas" w:hAnsi="Consolas"/>
          <w:color w:val="1C5CAB"/>
          <w:sz w:val="19"/>
        </w:rPr>
        <w:t>recovery</w:t>
      </w:r>
      <w:r>
        <w:rPr>
          <w:color w:val="3A3A38"/>
          <w:sz w:val="20"/>
        </w:rPr>
        <w:t xml:space="preserve"> in the workspace — the same check </w:t>
      </w:r>
      <w:r>
        <w:rPr>
          <w:rFonts w:ascii="Consolas" w:hAnsi="Consolas"/>
          <w:color w:val="1C5CAB"/>
          <w:sz w:val="19"/>
        </w:rPr>
        <w:t>test/testSpread.q</w:t>
      </w:r>
      <w:r>
        <w:rPr>
          <w:color w:val="3A3A38"/>
          <w:sz w:val="20"/>
        </w:rPr>
        <w:t xml:space="preserve"> asserts on non-interactively: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q)recovery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check         expected recovered relErrPct  pass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------------------------------------------------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stressVolMult 4        4.004076  0.101891   1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richnessBps   500      500.2515  0.05029823 1</w:t>
            </w:r>
          </w:p>
        </w:tc>
      </w:tr>
    </w:tbl>
    <w:p>
      <w:pPr>
        <w:spacing w:after="80"/>
      </w:pPr>
    </w:p>
    <w:p>
      <w:pPr>
        <w:pStyle w:val="ListBullet"/>
        <w:spacing w:after="80"/>
      </w:pPr>
      <w:r>
        <w:rPr>
          <w:b/>
          <w:color w:val="3A3A38"/>
          <w:sz w:val="20"/>
        </w:rPr>
        <w:t>stressVolMult</w:t>
      </w:r>
      <w:r>
        <w:rPr>
          <w:color w:val="3A3A38"/>
          <w:sz w:val="20"/>
        </w:rPr>
        <w:t xml:space="preserve"> — grouping all 6,000 quotes by </w:t>
      </w:r>
      <w:r>
        <w:rPr>
          <w:rFonts w:ascii="Consolas" w:hAnsi="Consolas"/>
          <w:color w:val="1C5CAB"/>
          <w:sz w:val="19"/>
        </w:rPr>
        <w:t>marketStatus</w:t>
      </w:r>
      <w:r>
        <w:rPr>
          <w:color w:val="3A3A38"/>
          <w:sz w:val="20"/>
        </w:rPr>
        <w:t xml:space="preserve"> alone and taking the ratio of average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(stressed ÷ normal) recovers the injected 4.0x multiplier to within ~0.1%.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richnessBps</w:t>
      </w:r>
      <w:r>
        <w:rPr>
          <w:color w:val="3A3A38"/>
          <w:sz w:val="20"/>
        </w:rPr>
        <w:t xml:space="preserve"> — joining the model's composed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against the independent benchmark series on </w:t>
      </w:r>
      <w:r>
        <w:rPr>
          <w:rFonts w:ascii="Consolas" w:hAnsi="Consolas"/>
          <w:color w:val="1C5CAB"/>
          <w:sz w:val="19"/>
        </w:rPr>
        <w:t>`time`sym</w:t>
      </w:r>
      <w:r>
        <w:rPr>
          <w:color w:val="3A3A38"/>
          <w:sz w:val="20"/>
        </w:rPr>
        <w:t xml:space="preserve"> via </w:t>
      </w: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 and averaging the recovered </w:t>
      </w:r>
      <w:r>
        <w:rPr>
          <w:rFonts w:ascii="Consolas" w:hAnsi="Consolas"/>
          <w:color w:val="1C5CAB"/>
          <w:sz w:val="19"/>
        </w:rPr>
        <w:t>richnessBps</w:t>
      </w:r>
      <w:r>
        <w:rPr>
          <w:color w:val="3A3A38"/>
          <w:sz w:val="20"/>
        </w:rPr>
        <w:t xml:space="preserve"> recovers the injected 500-unit richness to within ~0.05%.</w:t>
      </w:r>
    </w:p>
    <w:p>
      <w:pPr>
        <w:spacing w:after="160"/>
      </w:pPr>
      <w:r>
        <w:rPr>
          <w:color w:val="3A3A38"/>
          <w:sz w:val="20"/>
        </w:rPr>
        <w:t xml:space="preserve">The aggression effect isn't in the automated check above, but it's directly visible in </w:t>
      </w:r>
      <w:r>
        <w:rPr>
          <w:rFonts w:ascii="Consolas" w:hAnsi="Consolas"/>
          <w:color w:val="1C5CAB"/>
          <w:sz w:val="19"/>
        </w:rPr>
        <w:t>.spread.byRegime</w:t>
      </w:r>
      <w:r>
        <w:rPr>
          <w:color w:val="3A3A38"/>
          <w:sz w:val="20"/>
        </w:rPr>
        <w:t xml:space="preserve">'s output — comparing </w:t>
      </w:r>
      <w:r>
        <w:rPr>
          <w:rFonts w:ascii="Consolas" w:hAnsi="Consolas"/>
          <w:color w:val="1C5CAB"/>
          <w:sz w:val="19"/>
        </w:rPr>
        <w:t>low</w:t>
      </w:r>
      <w:r>
        <w:rPr>
          <w:color w:val="3A3A38"/>
          <w:sz w:val="20"/>
        </w:rPr>
        <w:t xml:space="preserve"> against </w:t>
      </w:r>
      <w:r>
        <w:rPr>
          <w:rFonts w:ascii="Consolas" w:hAnsi="Consolas"/>
          <w:color w:val="1C5CAB"/>
          <w:sz w:val="19"/>
        </w:rPr>
        <w:t>high</w:t>
      </w:r>
      <w:r>
        <w:rPr>
          <w:color w:val="3A3A38"/>
          <w:sz w:val="20"/>
        </w:rPr>
        <w:t xml:space="preserve"> aggression </w:t>
      </w:r>
      <w:r>
        <w:rPr>
          <w:i/>
          <w:color w:val="3A3A38"/>
          <w:sz w:val="20"/>
        </w:rPr>
        <w:t>within the same</w:t>
      </w:r>
      <w:r>
        <w:rPr>
          <w:color w:val="3A3A38"/>
          <w:sz w:val="20"/>
        </w:rPr>
        <w:t xml:space="preserve"> </w:t>
      </w:r>
      <w:r>
        <w:rPr>
          <w:rFonts w:ascii="Consolas" w:hAnsi="Consolas"/>
          <w:color w:val="1C5CAB"/>
          <w:sz w:val="19"/>
        </w:rPr>
        <w:t>normal</w:t>
      </w:r>
      <w:r>
        <w:rPr>
          <w:color w:val="3A3A38"/>
          <w:sz w:val="20"/>
        </w:rPr>
        <w:t xml:space="preserve"> market status: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aggression marketStatus  baseSprd   clientSprd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low        normal        0.3585052  0.1343631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high       normal        0.1438458  0.05404622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Consolas" w:hAnsi="Consolas"/>
          <w:color w:val="1C5CAB"/>
          <w:sz w:val="19"/>
        </w:rPr>
        <w:t>0.1438458 / 0.3585052 ≈ 0.401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0.05404622 / 0.1343631 ≈ 0.402</w:t>
      </w:r>
      <w:r>
        <w:rPr>
          <w:color w:val="3A3A38"/>
          <w:sz w:val="20"/>
        </w:rPr>
        <w:t xml:space="preserve"> — both land on the injected </w:t>
      </w:r>
      <w:r>
        <w:rPr>
          <w:rFonts w:ascii="Consolas" w:hAnsi="Consolas"/>
          <w:color w:val="1C5CAB"/>
          <w:sz w:val="19"/>
        </w:rPr>
        <w:t>aggressionMult[`high]</w:t>
      </w:r>
      <w:r>
        <w:rPr>
          <w:color w:val="3A3A38"/>
          <w:sz w:val="20"/>
        </w:rPr>
        <w:t xml:space="preserve"> of 0.4, recovered independently for two different components.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701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1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Same quote, priced two ways</w:t>
      </w:r>
    </w:p>
    <w:p>
      <w:pPr>
        <w:spacing w:after="160"/>
      </w:pPr>
      <w:r>
        <w:rPr>
          <w:color w:val="3A3A38"/>
          <w:sz w:val="20"/>
        </w:rPr>
        <w:t xml:space="preserve">That chart picks two realistic composite scenarios rather than isolating one variable — a calm, low-aggression quote versus an aggressive quote issued into a stressed market — and it's worth noticing what the totals do: </w:t>
      </w:r>
      <w:r>
        <w:rPr>
          <w:b/>
          <w:color w:val="3A3A38"/>
          <w:sz w:val="20"/>
        </w:rPr>
        <w:t>1.55 vs. 1.53, almost unchanged.</w:t>
      </w:r>
      <w:r>
        <w:rPr>
          <w:color w:val="3A3A38"/>
          <w:sz w:val="20"/>
        </w:rPr>
        <w:t xml:space="preserve"> The tighter base markup and client skew from aggressive pricing very nearly cancel the wider volatility buffer from the stress regime. A dashboard that only shows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would report these two quotes as practically identical; the decomposition shows they got there by two completely different routes. That gap — same total, different composition — is the entire reason to keep the components around instead of collapsing to one number at write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510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me_shif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volSprd carries the regime shift</w:t>
      </w:r>
    </w:p>
    <w:p>
      <w:pPr>
        <w:spacing w:after="160"/>
      </w:pPr>
      <w:r>
        <w:rPr>
          <w:color w:val="3A3A38"/>
          <w:sz w:val="20"/>
        </w:rPr>
        <w:t xml:space="preserve">The second chart rolls the same session up by </w:t>
      </w:r>
      <w:r>
        <w:rPr>
          <w:rFonts w:ascii="Consolas" w:hAnsi="Consolas"/>
          <w:color w:val="1C5CAB"/>
          <w:sz w:val="19"/>
        </w:rPr>
        <w:t>.spread.byTime[quotes;`minute;`$()]</w:t>
      </w:r>
      <w:r>
        <w:rPr>
          <w:color w:val="3A3A38"/>
          <w:sz w:val="20"/>
        </w:rPr>
        <w:t xml:space="preserve"> instead of by regime tag — a completely independent aggregation path — and recovers the same step: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jumps at the injected transition,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follows it, and every other component stays flat. Two unrelated rollups agreeing on the same signal is itself a form of validation.</w:t>
      </w:r>
    </w:p>
    <w:p>
      <w:pPr>
        <w:spacing w:before="280" w:after="120"/>
      </w:pPr>
      <w:r>
        <w:rPr>
          <w:b/>
          <w:color w:val="0B0B0B"/>
          <w:sz w:val="28"/>
        </w:rPr>
        <w:t>One more composition: share, not just level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answers "what's the average level of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". A related but different question is "what </w:t>
      </w:r>
      <w:r>
        <w:rPr>
          <w:i/>
          <w:color w:val="3A3A38"/>
          <w:sz w:val="20"/>
        </w:rPr>
        <w:t>fraction</w:t>
      </w:r>
      <w:r>
        <w:rPr>
          <w:color w:val="3A3A38"/>
          <w:sz w:val="20"/>
        </w:rPr>
        <w:t xml:space="preserve"> of the spread is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responsible for, and does that change over the session" — level and share tell different stories whenever the other components are moving too. That question turns out to need no new machinery: </w:t>
      </w:r>
      <w:r>
        <w:rPr>
          <w:rFonts w:ascii="Consolas" w:hAnsi="Consolas"/>
          <w:color w:val="1C5CAB"/>
          <w:sz w:val="19"/>
        </w:rPr>
        <w:t>.spread.decompose</w:t>
      </w:r>
      <w:r>
        <w:rPr>
          <w:color w:val="3A3A38"/>
          <w:sz w:val="20"/>
        </w:rPr>
        <w:t xml:space="preserve"> already melts a wide row into one row per component with a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, and </w:t>
      </w:r>
      <w:r>
        <w:rPr>
          <w:rFonts w:ascii="Consolas" w:hAnsi="Consolas"/>
          <w:color w:val="1C5CAB"/>
          <w:sz w:val="19"/>
        </w:rPr>
        <w:t>.spread.byTime</w:t>
      </w:r>
      <w:r>
        <w:rPr>
          <w:color w:val="3A3A38"/>
          <w:sz w:val="20"/>
        </w:rPr>
        <w:t xml:space="preserve">'s output is exactly quote-shaped (every component column plus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) — so decomposing a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result, rather than raw quotes, gives share-over-time for free: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.spread.shareByTime:{[tab;bucket;extraKeyCols] .spread.decompose .spread.byTime[tab;bucket;extraKeyCols]};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 xml:space="preserve">The order matters.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has to run </w:t>
      </w:r>
      <w:r>
        <w:rPr>
          <w:i/>
          <w:color w:val="3A3A38"/>
          <w:sz w:val="20"/>
        </w:rPr>
        <w:t>first</w:t>
      </w:r>
      <w:r>
        <w:rPr>
          <w:color w:val="3A3A38"/>
          <w:sz w:val="20"/>
        </w:rPr>
        <w:t xml:space="preserve">: a component's share in a bucket must be the ratio of its own weighted average to the bucket's weighted total, not an average of each quote's individual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— averaging ratios directly gives the wrong answer the moment weight varies within the bucket. In symbols, per bucket: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= 100 × wavg(</w:t>
      </w:r>
      <w:r>
        <w:rPr>
          <w:rFonts w:ascii="Consolas" w:hAnsi="Consolas"/>
          <w:color w:val="1C5CAB"/>
          <w:sz w:val="19"/>
        </w:rPr>
        <w:t>component</w:t>
      </w:r>
      <w:r>
        <w:rPr>
          <w:color w:val="3A3A38"/>
          <w:sz w:val="20"/>
        </w:rPr>
        <w:t>) ÷ wavg(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), not the average of each quote's own </w:t>
      </w:r>
      <w:r>
        <w:rPr>
          <w:rFonts w:ascii="Consolas" w:hAnsi="Consolas"/>
          <w:color w:val="1C5CAB"/>
          <w:sz w:val="19"/>
        </w:rPr>
        <w:t>componentValue</w:t>
      </w:r>
      <w:r>
        <w:rPr>
          <w:color w:val="3A3A38"/>
          <w:sz w:val="20"/>
        </w:rPr>
        <w:t xml:space="preserve"> ÷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. Doing it in this order,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sums to exactly 100 within every bucket by construction, the same invariant </w:t>
      </w:r>
      <w:r>
        <w:rPr>
          <w:rFonts w:ascii="Consolas" w:hAnsi="Consolas"/>
          <w:color w:val="1C5CAB"/>
          <w:sz w:val="19"/>
        </w:rPr>
        <w:t>.spread.waterfall</w:t>
      </w:r>
      <w:r>
        <w:rPr>
          <w:color w:val="3A3A38"/>
          <w:sz w:val="20"/>
        </w:rPr>
        <w:t xml:space="preserve">'s </w:t>
      </w:r>
      <w:r>
        <w:rPr>
          <w:rFonts w:ascii="Consolas" w:hAnsi="Consolas"/>
          <w:color w:val="1C5CAB"/>
          <w:sz w:val="19"/>
        </w:rPr>
        <w:t>cum_alphaSprd == totalSprd</w:t>
      </w:r>
      <w:r>
        <w:rPr>
          <w:color w:val="3A3A38"/>
          <w:sz w:val="20"/>
        </w:rPr>
        <w:t xml:space="preserve"> gives for a single 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510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Same signal, viewed as a share instead of a level</w:t>
      </w:r>
    </w:p>
    <w:p>
      <w:pPr>
        <w:spacing w:after="160"/>
      </w:pPr>
      <w:r>
        <w:rPr>
          <w:color w:val="3A3A38"/>
          <w:sz w:val="20"/>
        </w:rPr>
        <w:t xml:space="preserve">Same session, same transition, same component — but the y-axis is now "% of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" instead of price units.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goes from ~6% of the quoted spread to ~21% at the stress transition. That framing matters for a different audience than the level chart does: a pricing manager asking "is the vol buffer blowing out my margins today" cares about the share, not the raw number, and the two aren't always telling the same story — a component can hold a </w:t>
      </w:r>
      <w:r>
        <w:rPr>
          <w:i/>
          <w:color w:val="3A3A38"/>
          <w:sz w:val="20"/>
        </w:rPr>
        <w:t>constant</w:t>
      </w:r>
      <w:r>
        <w:rPr>
          <w:color w:val="3A3A38"/>
          <w:sz w:val="20"/>
        </w:rPr>
        <w:t xml:space="preserve"> share while the total (and therefore its absolute level) moves, or vice versa.</w:t>
      </w:r>
    </w:p>
    <w:p>
      <w:pPr>
        <w:spacing w:after="160"/>
      </w:pPr>
      <w:r>
        <w:rPr>
          <w:color w:val="3A3A38"/>
          <w:sz w:val="20"/>
        </w:rPr>
        <w:t xml:space="preserve">Building </w:t>
      </w:r>
      <w:r>
        <w:rPr>
          <w:rFonts w:ascii="Consolas" w:hAnsi="Consolas"/>
          <w:color w:val="1C5CAB"/>
          <w:sz w:val="19"/>
        </w:rPr>
        <w:t>.spread.decompose</w:t>
      </w:r>
      <w:r>
        <w:rPr>
          <w:color w:val="3A3A38"/>
          <w:sz w:val="20"/>
        </w:rPr>
        <w:t xml:space="preserve"> to unkey its input defensively (</w:t>
      </w:r>
      <w:r>
        <w:rPr>
          <w:rFonts w:ascii="Consolas" w:hAnsi="Consolas"/>
          <w:color w:val="1C5CAB"/>
          <w:sz w:val="19"/>
        </w:rPr>
        <w:t>0!</w:t>
      </w:r>
      <w:r>
        <w:rPr>
          <w:color w:val="3A3A38"/>
          <w:sz w:val="20"/>
        </w:rPr>
        <w:t xml:space="preserve"> before the column select) is what makes this composition possible at all: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's output is a keyed table (every </w:t>
      </w:r>
      <w:r>
        <w:rPr>
          <w:rFonts w:ascii="Consolas" w:hAnsi="Consolas"/>
          <w:color w:val="1C5CAB"/>
          <w:sz w:val="19"/>
        </w:rPr>
        <w:t>?[]</w:t>
      </w:r>
      <w:r>
        <w:rPr>
          <w:color w:val="3A3A38"/>
          <w:sz w:val="20"/>
        </w:rPr>
        <w:t xml:space="preserve"> group-by result is), and naively feeding a keyed table into code written against a plain one is exactly the kind of thing that looks fine until you actually chain two functions together.</w:t>
      </w:r>
    </w:p>
    <w:p>
      <w:pPr>
        <w:spacing w:before="280" w:after="120"/>
      </w:pPr>
      <w:r>
        <w:rPr>
          <w:b/>
          <w:color w:val="0B0B0B"/>
          <w:sz w:val="28"/>
        </w:rPr>
        <w:t>The mean can hide the tail</w:t>
      </w:r>
    </w:p>
    <w:p>
      <w:pPr>
        <w:spacing w:after="160"/>
      </w:pPr>
      <w:r>
        <w:rPr>
          <w:color w:val="3A3A38"/>
          <w:sz w:val="20"/>
        </w:rPr>
        <w:t xml:space="preserve">Every rollup so far —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byRegime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shareByTime</w:t>
      </w:r>
      <w:r>
        <w:rPr>
          <w:color w:val="3A3A38"/>
          <w:sz w:val="20"/>
        </w:rPr>
        <w:t xml:space="preserve"> — answers with a single weighted average. An average can look perfectly calm while a chunk of the distribution behind it is not: three quotes at 1.30 and one at 4.00 average out to 1.68, a number that undersells what actually happened on that fourth quote. A pricing desk asking "how bad does this ever get" needs the tail, not the center.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wavg</w:t>
      </w:r>
      <w:r>
        <w:rPr>
          <w:color w:val="3A3A38"/>
          <w:sz w:val="20"/>
        </w:rPr>
        <w:t xml:space="preserve"> is a q built-in; there's no equivalent built-in for a </w:t>
      </w:r>
      <w:r>
        <w:rPr>
          <w:i/>
          <w:color w:val="3A3A38"/>
          <w:sz w:val="20"/>
        </w:rPr>
        <w:t>weighted</w:t>
      </w:r>
      <w:r>
        <w:rPr>
          <w:color w:val="3A3A38"/>
          <w:sz w:val="20"/>
        </w:rPr>
        <w:t xml:space="preserve"> percentile, so </w:t>
      </w:r>
      <w:r>
        <w:rPr>
          <w:rFonts w:ascii="Consolas" w:hAnsi="Consolas"/>
          <w:color w:val="1C5CAB"/>
          <w:sz w:val="19"/>
        </w:rPr>
        <w:t>.spread.priv.wpctl</w:t>
      </w:r>
      <w:r>
        <w:rPr>
          <w:color w:val="3A3A38"/>
          <w:sz w:val="20"/>
        </w:rPr>
        <w:t xml:space="preserve"> implements the standard nearest-rank method — sort by value, walk cumulative weight in that order, and return the value at the point the cumulative weight fraction first reaches </w:t>
      </w:r>
      <w:r>
        <w:rPr>
          <w:rFonts w:ascii="Consolas" w:hAnsi="Consolas"/>
          <w:color w:val="1C5CAB"/>
          <w:sz w:val="19"/>
        </w:rPr>
        <w:t>p</w:t>
      </w:r>
      <w:r>
        <w:rPr>
          <w:color w:val="3A3A38"/>
          <w:sz w:val="20"/>
        </w:rPr>
        <w:t>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.spread.priv.wpctl:{[p;w;x]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ord:iasc x;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cw:(sums w ord)%sum w;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(x ord) first where cw&gt;=p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};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 xml:space="preserve">In symbols: sort </w:t>
      </w:r>
      <w:r>
        <w:rPr>
          <w:rFonts w:ascii="Consolas" w:hAnsi="Consolas"/>
          <w:color w:val="1C5CAB"/>
          <w:sz w:val="19"/>
        </w:rPr>
        <w:t>x</w:t>
      </w:r>
      <w:r>
        <w:rPr>
          <w:color w:val="3A3A38"/>
          <w:sz w:val="20"/>
        </w:rPr>
        <w:t xml:space="preserve"> ascending to get order </w:t>
      </w:r>
      <w:r>
        <w:rPr>
          <w:i/>
          <w:color w:val="3A3A38"/>
          <w:sz w:val="20"/>
        </w:rPr>
        <w:t>x(1) ≤ x(2) ≤ ... ≤ x(n)</w:t>
      </w:r>
      <w:r>
        <w:rPr>
          <w:color w:val="3A3A38"/>
          <w:sz w:val="20"/>
        </w:rPr>
        <w:t xml:space="preserve">, define the cumulative weight fraction </w:t>
      </w:r>
      <w:r>
        <w:rPr>
          <w:i/>
          <w:color w:val="3A3A38"/>
          <w:sz w:val="20"/>
        </w:rPr>
        <w:t>CW(j)</w:t>
      </w:r>
      <w:r>
        <w:rPr>
          <w:color w:val="3A3A38"/>
          <w:sz w:val="20"/>
        </w:rPr>
        <w:t xml:space="preserve"> = (Σ </w:t>
      </w:r>
      <w:r>
        <w:rPr>
          <w:i/>
          <w:color w:val="3A3A38"/>
          <w:sz w:val="20"/>
        </w:rPr>
        <w:t>w(i)</w:t>
      </w:r>
      <w:r>
        <w:rPr>
          <w:color w:val="3A3A38"/>
          <w:sz w:val="20"/>
        </w:rPr>
        <w:t xml:space="preserve"> for </w:t>
      </w:r>
      <w:r>
        <w:rPr>
          <w:i/>
          <w:color w:val="3A3A38"/>
          <w:sz w:val="20"/>
        </w:rPr>
        <w:t>i ≤ j</w:t>
      </w:r>
      <w:r>
        <w:rPr>
          <w:color w:val="3A3A38"/>
          <w:sz w:val="20"/>
        </w:rPr>
        <w:t>) ÷ Σ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 xml:space="preserve">, and return </w:t>
      </w:r>
      <w:r>
        <w:rPr>
          <w:i/>
          <w:color w:val="3A3A38"/>
          <w:sz w:val="20"/>
        </w:rPr>
        <w:t>x(j)</w:t>
      </w:r>
      <w:r>
        <w:rPr>
          <w:color w:val="3A3A38"/>
          <w:sz w:val="20"/>
        </w:rPr>
        <w:t xml:space="preserve"> for the smallest </w:t>
      </w:r>
      <w:r>
        <w:rPr>
          <w:i/>
          <w:color w:val="3A3A38"/>
          <w:sz w:val="20"/>
        </w:rPr>
        <w:t>j</w:t>
      </w:r>
      <w:r>
        <w:rPr>
          <w:color w:val="3A3A38"/>
          <w:sz w:val="20"/>
        </w:rPr>
        <w:t xml:space="preserve"> where </w:t>
      </w:r>
      <w:r>
        <w:rPr>
          <w:i/>
          <w:color w:val="3A3A38"/>
          <w:sz w:val="20"/>
        </w:rPr>
        <w:t>CW(j) ≥ p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color w:val="3A3A38"/>
          <w:sz w:val="20"/>
        </w:rPr>
        <w:t xml:space="preserve">Nearest-rank rather than interpolated is a deliberate choice: the value returned was always an actual observed quote, matching how a "worst 1% of the time" read is usually meant in a risk context, rather than a smoothed statistical estimate. Because </w:t>
      </w:r>
      <w:r>
        <w:rPr>
          <w:rFonts w:ascii="Consolas" w:hAnsi="Consolas"/>
          <w:color w:val="1C5CAB"/>
          <w:sz w:val="19"/>
        </w:rPr>
        <w:t>wpctl</w:t>
      </w:r>
      <w:r>
        <w:rPr>
          <w:color w:val="3A3A38"/>
          <w:sz w:val="20"/>
        </w:rPr>
        <w:t xml:space="preserve"> takes the same </w:t>
      </w:r>
      <w:r>
        <w:rPr>
          <w:rFonts w:ascii="Consolas" w:hAnsi="Consolas"/>
          <w:color w:val="1C5CAB"/>
          <w:sz w:val="19"/>
        </w:rPr>
        <w:t>(weight, value) -&gt; number</w:t>
      </w:r>
      <w:r>
        <w:rPr>
          <w:color w:val="3A3A38"/>
          <w:sz w:val="20"/>
        </w:rPr>
        <w:t xml:space="preserve"> shape </w:t>
      </w:r>
      <w:r>
        <w:rPr>
          <w:rFonts w:ascii="Consolas" w:hAnsi="Consolas"/>
          <w:color w:val="1C5CAB"/>
          <w:sz w:val="19"/>
        </w:rPr>
        <w:t>wavg</w:t>
      </w:r>
      <w:r>
        <w:rPr>
          <w:color w:val="3A3A38"/>
          <w:sz w:val="20"/>
        </w:rPr>
        <w:t xml:space="preserve"> does, it drops straight into the same aggregate-spec pattern </w:t>
      </w:r>
      <w:r>
        <w:rPr>
          <w:rFonts w:ascii="Consolas" w:hAnsi="Consolas"/>
          <w:color w:val="1C5CAB"/>
          <w:sz w:val="19"/>
        </w:rPr>
        <w:t>.spread.priv.wavgAggCols</w:t>
      </w:r>
      <w:r>
        <w:rPr>
          <w:color w:val="3A3A38"/>
          <w:sz w:val="20"/>
        </w:rPr>
        <w:t xml:space="preserve"> already established — </w:t>
      </w:r>
      <w:r>
        <w:rPr>
          <w:rFonts w:ascii="Consolas" w:hAnsi="Consolas"/>
          <w:color w:val="1C5CAB"/>
          <w:sz w:val="19"/>
        </w:rPr>
        <w:t>.spread.priv.pctlAggCols</w:t>
      </w:r>
      <w:r>
        <w:rPr>
          <w:color w:val="3A3A38"/>
          <w:sz w:val="20"/>
        </w:rPr>
        <w:t xml:space="preserve"> is that function's percentile counterpart, and </w:t>
      </w:r>
      <w:r>
        <w:rPr>
          <w:rFonts w:ascii="Consolas" w:hAnsi="Consolas"/>
          <w:color w:val="1C5CAB"/>
          <w:sz w:val="19"/>
        </w:rPr>
        <w:t>.spread.pctlBy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.spread.pctlByTime</w:t>
      </w:r>
      <w:r>
        <w:rPr>
          <w:color w:val="3A3A38"/>
          <w:sz w:val="20"/>
        </w:rPr>
        <w:t xml:space="preserve"> are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with it swapped in: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.spread.pctlByTime:{[tab;bucket;extraKeyCols;percentiles]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t:$[`totalSprd in cols tab;tab;.spread.compose tab];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aggC:(extraKeyCols!extraKeyCols),enlist[`time]!enlist .spread.util.timeBucket[bucket;`time];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?[t;();aggC;.spread.priv.pctlAggCols[percentiles;`totalSprd]]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};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455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t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The whole distribution shifts together, not just the tail</w:t>
      </w:r>
    </w:p>
    <w:p>
      <w:pPr>
        <w:spacing w:after="160"/>
      </w:pPr>
      <w:r>
        <w:rPr>
          <w:color w:val="3A3A38"/>
          <w:sz w:val="20"/>
        </w:rPr>
        <w:t xml:space="preserve">Run against the same synthetic session as every other chart here, </w:t>
      </w:r>
      <w:r>
        <w:rPr>
          <w:rFonts w:ascii="Consolas" w:hAnsi="Consolas"/>
          <w:color w:val="1C5CAB"/>
          <w:sz w:val="19"/>
        </w:rPr>
        <w:t>p50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p90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p99</w:t>
      </w:r>
      <w:r>
        <w:rPr>
          <w:color w:val="3A3A38"/>
          <w:sz w:val="20"/>
        </w:rPr>
        <w:t xml:space="preserve"> all jump at the stress transition together with the mean — the gap between them doesn't widen the way it would if the stress were a tail-specific event (an occasional very-wide quote pulling </w:t>
      </w:r>
      <w:r>
        <w:rPr>
          <w:rFonts w:ascii="Consolas" w:hAnsi="Consolas"/>
          <w:color w:val="1C5CAB"/>
          <w:sz w:val="19"/>
        </w:rPr>
        <w:t>p99</w:t>
      </w:r>
      <w:r>
        <w:rPr>
          <w:color w:val="3A3A38"/>
          <w:sz w:val="20"/>
        </w:rPr>
        <w:t xml:space="preserve"> up while </w:t>
      </w:r>
      <w:r>
        <w:rPr>
          <w:rFonts w:ascii="Consolas" w:hAnsi="Consolas"/>
          <w:color w:val="1C5CAB"/>
          <w:sz w:val="19"/>
        </w:rPr>
        <w:t>p50</w:t>
      </w:r>
      <w:r>
        <w:rPr>
          <w:color w:val="3A3A38"/>
          <w:sz w:val="20"/>
        </w:rPr>
        <w:t xml:space="preserve"> stayed put). That's not a null result: it </w:t>
      </w:r>
      <w:r>
        <w:rPr>
          <w:i/>
          <w:color w:val="3A3A38"/>
          <w:sz w:val="20"/>
        </w:rPr>
        <w:t>confirms</w:t>
      </w:r>
      <w:r>
        <w:rPr>
          <w:color w:val="3A3A38"/>
          <w:sz w:val="20"/>
        </w:rPr>
        <w:t xml:space="preserve"> the injected stress here is a uniform level-shift affecting every quote by the same factor, exactly matching how </w:t>
      </w:r>
      <w:r>
        <w:rPr>
          <w:rFonts w:ascii="Consolas" w:hAnsi="Consolas"/>
          <w:color w:val="1C5CAB"/>
          <w:sz w:val="19"/>
        </w:rPr>
        <w:t>data/spreadGenerator.q</w:t>
      </w:r>
      <w:r>
        <w:rPr>
          <w:color w:val="3A3A38"/>
          <w:sz w:val="20"/>
        </w:rPr>
        <w:t xml:space="preserve"> built it —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>'s multiplier applies to every stressed quote equally, not to a random few. Percentile analysis earns its place precisely by being able to tell these two situations apart; this session happens to land on the "uniform shift" side of that distinction, and knowing that for certain is worth more than assuming it.</w:t>
      </w:r>
    </w:p>
    <w:p>
      <w:pPr>
        <w:spacing w:after="160"/>
      </w:pPr>
      <w:r>
        <w:rPr>
          <w:color w:val="3A3A38"/>
          <w:sz w:val="20"/>
        </w:rPr>
        <w:t xml:space="preserve">Sorting isn't free: </w:t>
      </w:r>
      <w:r>
        <w:rPr>
          <w:rFonts w:ascii="Consolas" w:hAnsi="Consolas"/>
          <w:color w:val="1C5CAB"/>
          <w:sz w:val="19"/>
        </w:rPr>
        <w:t>perf/perfSpread.q</w:t>
      </w:r>
      <w:r>
        <w:rPr>
          <w:color w:val="3A3A38"/>
          <w:sz w:val="20"/>
        </w:rPr>
        <w:t xml:space="preserve"> shows </w:t>
      </w:r>
      <w:r>
        <w:rPr>
          <w:rFonts w:ascii="Consolas" w:hAnsi="Consolas"/>
          <w:color w:val="1C5CAB"/>
          <w:sz w:val="19"/>
        </w:rPr>
        <w:t>pctlByTime</w:t>
      </w:r>
      <w:r>
        <w:rPr>
          <w:color w:val="3A3A38"/>
          <w:sz w:val="20"/>
        </w:rPr>
        <w:t xml:space="preserve"> at roughly 3.4x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>'s cost (a full sort per bucket vs. one weighted sum), the one rollup in this library where reaching for the distribution instead of the mean has a real, measurable price.</w:t>
      </w:r>
    </w:p>
    <w:p>
      <w:pPr>
        <w:spacing w:before="280" w:after="120"/>
      </w:pPr>
      <w:r>
        <w:rPr>
          <w:b/>
          <w:color w:val="0B0B0B"/>
          <w:sz w:val="28"/>
        </w:rPr>
        <w:t>Reconciliation vs. an outside reference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 joins the model's composed total against any independently sourced spread series and reports richness in both bps and pct: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.spread.vsReference:{[modelTab;refTab;keyCols;refCol]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m:$[`totalSprd in cols modelTab;modelTab;.spread.compose modelTab];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mSel:keyCols xkey ?[m;();0b;(keyCols!keyCols),enlist[`modelSprd]!enlist`totalSprd];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rSel:keyCols xkey ?[refTab;();0b;(keyCols!keyCols),enlist[`refSprd]!enlist refCol];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res:0!mSel,'rSel;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 update richnessBps:1e4*modelSprd-refSprd, richnessPct:100*(modelSprd-refSprd)%refSprd from res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 xml:space="preserve"> };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color w:val="3A3A38"/>
          <w:sz w:val="20"/>
        </w:rPr>
        <w:t xml:space="preserve">In symbols: </w:t>
      </w:r>
      <w:r>
        <w:rPr>
          <w:rFonts w:ascii="Consolas" w:hAnsi="Consolas"/>
          <w:color w:val="1C5CAB"/>
          <w:sz w:val="19"/>
        </w:rPr>
        <w:t>richnessBps</w:t>
      </w:r>
      <w:r>
        <w:rPr>
          <w:color w:val="3A3A38"/>
          <w:sz w:val="20"/>
        </w:rPr>
        <w:t xml:space="preserve"> = 1e4 × (</w:t>
      </w:r>
      <w:r>
        <w:rPr>
          <w:rFonts w:ascii="Consolas" w:hAnsi="Consolas"/>
          <w:color w:val="1C5CAB"/>
          <w:sz w:val="19"/>
        </w:rPr>
        <w:t>modelSprd</w:t>
      </w:r>
      <w:r>
        <w:rPr>
          <w:color w:val="3A3A38"/>
          <w:sz w:val="20"/>
        </w:rPr>
        <w:t xml:space="preserve"> −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), and </w:t>
      </w:r>
      <w:r>
        <w:rPr>
          <w:rFonts w:ascii="Consolas" w:hAnsi="Consolas"/>
          <w:color w:val="1C5CAB"/>
          <w:sz w:val="19"/>
        </w:rPr>
        <w:t>richnessPct</w:t>
      </w:r>
      <w:r>
        <w:rPr>
          <w:color w:val="3A3A38"/>
          <w:sz w:val="20"/>
        </w:rPr>
        <w:t xml:space="preserve"> = 100 × (</w:t>
      </w:r>
      <w:r>
        <w:rPr>
          <w:rFonts w:ascii="Consolas" w:hAnsi="Consolas"/>
          <w:color w:val="1C5CAB"/>
          <w:sz w:val="19"/>
        </w:rPr>
        <w:t>modelSprd</w:t>
      </w:r>
      <w:r>
        <w:rPr>
          <w:color w:val="3A3A38"/>
          <w:sz w:val="20"/>
        </w:rPr>
        <w:t xml:space="preserve"> −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) ÷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color w:val="3A3A38"/>
          <w:sz w:val="20"/>
        </w:rPr>
        <w:t xml:space="preserve">The obvious use is a pricing-desk sanity check — is what we're quoting consistent with a competitor feed, a prior model version, or an internal benchmark rate — but it's the same shape regardless of what </w:t>
      </w:r>
      <w:r>
        <w:rPr>
          <w:rFonts w:ascii="Consolas" w:hAnsi="Consolas"/>
          <w:color w:val="1C5CAB"/>
          <w:sz w:val="19"/>
        </w:rPr>
        <w:t>refTab</w:t>
      </w:r>
      <w:r>
        <w:rPr>
          <w:color w:val="3A3A38"/>
          <w:sz w:val="20"/>
        </w:rPr>
        <w:t xml:space="preserve"> actually is: any two independently produced spread series, reconciled on shared keys.</w:t>
      </w:r>
    </w:p>
    <w:p>
      <w:pPr>
        <w:spacing w:before="280" w:after="120"/>
      </w:pPr>
      <w:r>
        <w:rPr>
          <w:b/>
          <w:color w:val="0B0B0B"/>
          <w:sz w:val="28"/>
        </w:rPr>
        <w:t>Conclusions</w:t>
      </w:r>
    </w:p>
    <w:p>
      <w:pPr>
        <w:spacing w:after="160"/>
      </w:pPr>
      <w:r>
        <w:rPr>
          <w:color w:val="3A3A38"/>
          <w:sz w:val="20"/>
        </w:rPr>
        <w:t>Spread decomposition and market impact both live under the same broad heading — pricing/post-trade analytics — and they're close to opposite problems. Market impact starts with one noisy number (price after the fact) and has to recover a hidden temporary/permanent structure from it, which is why that piece needed a parametric fit and a goodness-of-fit statistic to know if the recovery was any good. Spread decomposition starts with the structure already given — every component is a column the pricing engine already computed — so there's nothing to estimate. The entire job is downstream: aggregate an additive decomposition without breaking the weighting no matter which dimension you slice by, and check the result against something the model didn't produce itself.</w:t>
      </w:r>
    </w:p>
    <w:p>
      <w:pPr>
        <w:spacing w:after="160"/>
      </w:pPr>
      <w:r>
        <w:rPr>
          <w:color w:val="3A3A38"/>
          <w:sz w:val="20"/>
        </w:rPr>
        <w:t>Both pieces lean on the same discipline to know the code is actually right rather than just plausible: build a synthetic scenario with a known answer baked in, and require the functions to reproduce that number, not merely something in the right ballpark.</w:t>
      </w:r>
    </w:p>
    <w:p>
      <w:pPr>
        <w:spacing w:before="280" w:after="120"/>
      </w:pPr>
      <w:r>
        <w:rPr>
          <w:b/>
          <w:color w:val="0B0B0B"/>
          <w:sz w:val="28"/>
        </w:rPr>
        <w:t>Appendix: performance</w:t>
      </w:r>
    </w:p>
    <w:p>
      <w:pPr>
        <w:spacing w:after="160"/>
      </w:pPr>
      <w:r>
        <w:rPr>
          <w:color w:val="3A3A38"/>
          <w:sz w:val="20"/>
        </w:rPr>
        <w:t xml:space="preserve">Correctness aside, it's worth knowing what these functions actually cost. </w:t>
      </w:r>
      <w:r>
        <w:rPr>
          <w:rFonts w:ascii="Consolas" w:hAnsi="Consolas"/>
          <w:color w:val="1C5CAB"/>
          <w:sz w:val="19"/>
        </w:rPr>
        <w:t>perf/perfChk.q</w:t>
      </w:r>
      <w:r>
        <w:rPr>
          <w:color w:val="3A3A38"/>
          <w:sz w:val="20"/>
        </w:rPr>
        <w:t xml:space="preserve"> is a shared timing harness (functions only); two per-article runners load it and time every public function in their own analytics file against realistic-sized synthetic data, via kdb+'s built-in </w:t>
      </w:r>
      <w:r>
        <w:rPr>
          <w:rFonts w:ascii="Consolas" w:hAnsi="Consolas"/>
          <w:color w:val="1C5CAB"/>
          <w:sz w:val="19"/>
        </w:rPr>
        <w:t>\ts</w:t>
      </w:r>
      <w:r>
        <w:rPr>
          <w:color w:val="3A3A38"/>
          <w:sz w:val="20"/>
        </w:rPr>
        <w:t xml:space="preserve"> time+space profiler (called programmatically, </w:t>
      </w:r>
      <w:r>
        <w:rPr>
          <w:rFonts w:ascii="Consolas" w:hAnsi="Consolas"/>
          <w:color w:val="1C5CAB"/>
          <w:sz w:val="19"/>
        </w:rPr>
        <w:t>system"ts do[n;expr]"</w:t>
      </w:r>
      <w:r>
        <w:rPr>
          <w:color w:val="3A3A38"/>
          <w:sz w:val="20"/>
        </w:rPr>
        <w:t xml:space="preserve">, so the (ms;bytes) pair can be captured and averaged over </w:t>
      </w:r>
      <w:r>
        <w:rPr>
          <w:rFonts w:ascii="Consolas" w:hAnsi="Consolas"/>
          <w:color w:val="1C5CAB"/>
          <w:sz w:val="19"/>
        </w:rPr>
        <w:t>n</w:t>
      </w:r>
      <w:r>
        <w:rPr>
          <w:color w:val="3A3A38"/>
          <w:sz w:val="20"/>
        </w:rPr>
        <w:t xml:space="preserve"> reps rather than only printed). Below is the </w:t>
      </w:r>
      <w:r>
        <w:rPr>
          <w:rFonts w:ascii="Consolas" w:hAnsi="Consolas"/>
          <w:color w:val="1C5CAB"/>
          <w:sz w:val="19"/>
        </w:rPr>
        <w:t>.util.*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.spread.*</w:t>
      </w:r>
      <w:r>
        <w:rPr>
          <w:color w:val="3A3A38"/>
          <w:sz w:val="20"/>
        </w:rPr>
        <w:t xml:space="preserve"> subset — the shared offset-grid helpers plus every function discussed in this article — run at 5x the session size used above: a 216,000-row rate series, 10,000 trades, 25 orders, and 30,000 quotes.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val="clear" w:color="auto" w:fill="1a273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q perf/perfMarkOut.q   # .util.* (this table's util rows)</w:t>
            </w:r>
          </w:p>
          <w:p>
            <w:pPr>
              <w:spacing w:after="0"/>
            </w:pPr>
            <w:r>
              <w:rPr>
                <w:rFonts w:ascii="Consolas" w:hAnsi="Consolas"/>
                <w:color w:val="E7ECEF"/>
                <w:sz w:val="17"/>
              </w:rPr>
              <w:t>q perf/perfSpread.q    # .spread.* (this table's spread rows)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486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8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Every .util.* and .spread.* function, timed at 5x scale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46"/>
            <w:shd w:val="clear" w:color="auto" w:fill="eef0ee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b/>
                <w:color w:val="0B0B0B"/>
                <w:sz w:val="18"/>
              </w:rPr>
              <w:t>Function</w:t>
            </w:r>
          </w:p>
        </w:tc>
        <w:tc>
          <w:tcPr>
            <w:tcW w:type="dxa" w:w="3557"/>
            <w:shd w:val="clear" w:color="auto" w:fill="eef0ee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b/>
                <w:color w:val="0B0B0B"/>
                <w:sz w:val="18"/>
              </w:rPr>
              <w:t>Reps</w:t>
            </w:r>
          </w:p>
        </w:tc>
        <w:tc>
          <w:tcPr>
            <w:tcW w:type="dxa" w:w="3557"/>
            <w:shd w:val="clear" w:color="auto" w:fill="eef0ee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b/>
                <w:color w:val="0B0B0B"/>
                <w:sz w:val="18"/>
              </w:rPr>
              <w:t>Avg ms/call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.util.buildGrid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2000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0.005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.util.toTimespan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2000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&lt;0.001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.util.explode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3.14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.spread.compose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0.05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.spread.decompose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1.52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.spread.waterfall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4.04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.spread.priv.wavgAggCols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2000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0.001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.spread.util.timeBucket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2000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&lt;0.001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.spread.wavgBy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0.47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.spread.byRegime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0.59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.spread.byTime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1.98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.spread.shareByTime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1.9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.spread.priv.wpctl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2000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0.582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.spread.pctlBy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1.81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.spread.pctlByTime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6.84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.spread.vsReference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50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0.08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.spread.onQuote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0.004</w:t>
            </w:r>
          </w:p>
        </w:tc>
      </w:tr>
      <w:tr>
        <w:tc>
          <w:tcPr>
            <w:tcW w:type="dxa" w:w="2246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rFonts w:ascii="Consolas" w:hAnsi="Consolas"/>
                <w:color w:val="1C5CAB"/>
                <w:sz w:val="17"/>
              </w:rPr>
              <w:t>.spread.latest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1000</w:t>
            </w:r>
          </w:p>
        </w:tc>
        <w:tc>
          <w:tcPr>
            <w:tcW w:type="dxa" w:w="3557"/>
            <w:tcBorders>
              <w:top w:val="single" w:sz="4" w:color="c3c2b7"/>
              <w:left w:val="single" w:sz="4" w:color="c3c2b7"/>
              <w:bottom w:val="single" w:sz="4" w:color="c3c2b7"/>
              <w:right w:val="single" w:sz="4" w:color="c3c2b7"/>
            </w:tcBorders>
          </w:tcPr>
          <w:p>
            <w:pPr>
              <w:spacing w:after="40"/>
            </w:pPr>
            <w:r>
              <w:rPr>
                <w:color w:val="3A3A38"/>
                <w:sz w:val="18"/>
              </w:rPr>
              <w:t>&lt;0.001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color w:val="3A3A38"/>
          <w:sz w:val="20"/>
        </w:rPr>
        <w:t>A few things stand out. The pure grid/dict helpers (</w:t>
      </w:r>
      <w:r>
        <w:rPr>
          <w:rFonts w:ascii="Consolas" w:hAnsi="Consolas"/>
          <w:color w:val="1C5CAB"/>
          <w:sz w:val="19"/>
        </w:rPr>
        <w:t>buildGrid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toTimespan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priv.wavgAggCols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util.timeBucket</w:t>
      </w:r>
      <w:r>
        <w:rPr>
          <w:color w:val="3A3A38"/>
          <w:sz w:val="20"/>
        </w:rPr>
        <w:t xml:space="preserve">) are all sub-microsecond to low-microsecond — they're building small fixed-size structures, not touching the quote table at all. </w:t>
      </w:r>
      <w:r>
        <w:rPr>
          <w:rFonts w:ascii="Consolas" w:hAnsi="Consolas"/>
          <w:color w:val="1C5CAB"/>
          <w:sz w:val="19"/>
        </w:rPr>
        <w:t>.spread.compose</w:t>
      </w:r>
      <w:r>
        <w:rPr>
          <w:color w:val="3A3A38"/>
          <w:sz w:val="20"/>
        </w:rPr>
        <w:t xml:space="preserve"> is essentially free (0.05ms for 30,000 rows) since it's one row-wise sum; </w:t>
      </w:r>
      <w:r>
        <w:rPr>
          <w:rFonts w:ascii="Consolas" w:hAnsi="Consolas"/>
          <w:color w:val="1C5CAB"/>
          <w:sz w:val="19"/>
        </w:rPr>
        <w:t>decompose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waterfall</w:t>
      </w:r>
      <w:r>
        <w:rPr>
          <w:color w:val="3A3A38"/>
          <w:sz w:val="20"/>
        </w:rPr>
        <w:t xml:space="preserve"> cost more (1.5–4ms) because they each build several full-sized intermediate tables (one per component, or one cumulative column per component) rather than a single pass. The aggregations (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byRegime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) land under 2ms even grouping and weight-averaging all 30,000 rows —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is the most expensive of the three because its time-bucket key produces more distinct groups than a coarse regime tag does. </w:t>
      </w:r>
      <w:r>
        <w:rPr>
          <w:rFonts w:ascii="Consolas" w:hAnsi="Consolas"/>
          <w:color w:val="1C5CAB"/>
          <w:sz w:val="19"/>
        </w:rPr>
        <w:t>shareByTime</w:t>
      </w:r>
      <w:r>
        <w:rPr>
          <w:color w:val="3A3A38"/>
          <w:sz w:val="20"/>
        </w:rPr>
        <w:t xml:space="preserve"> costs almost exactly what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alone does (1.9ms vs. 1.98ms) — </w:t>
      </w:r>
      <w:r>
        <w:rPr>
          <w:rFonts w:ascii="Consolas" w:hAnsi="Consolas"/>
          <w:color w:val="1C5CAB"/>
          <w:sz w:val="19"/>
        </w:rPr>
        <w:t>decompose</w:t>
      </w:r>
      <w:r>
        <w:rPr>
          <w:color w:val="3A3A38"/>
          <w:sz w:val="20"/>
        </w:rPr>
        <w:t xml:space="preserve"> only runs against the small, already-aggregated bucket table it produces, not the original 30,000 rows, so melting it into shares is nearly free on top. The percentile rollups are the clear outliers: </w:t>
      </w:r>
      <w:r>
        <w:rPr>
          <w:rFonts w:ascii="Consolas" w:hAnsi="Consolas"/>
          <w:color w:val="1C5CAB"/>
          <w:sz w:val="19"/>
        </w:rPr>
        <w:t>pctlBy</w:t>
      </w:r>
      <w:r>
        <w:rPr>
          <w:color w:val="3A3A38"/>
          <w:sz w:val="20"/>
        </w:rPr>
        <w:t xml:space="preserve"> costs roughly 3.8x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's (1.81ms vs. 0.53ms), and </w:t>
      </w:r>
      <w:r>
        <w:rPr>
          <w:rFonts w:ascii="Consolas" w:hAnsi="Consolas"/>
          <w:color w:val="1C5CAB"/>
          <w:sz w:val="19"/>
        </w:rPr>
        <w:t>pctlByTime</w:t>
      </w:r>
      <w:r>
        <w:rPr>
          <w:color w:val="3A3A38"/>
          <w:sz w:val="20"/>
        </w:rPr>
        <w:t xml:space="preserve"> costs roughly 3.4x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's (6.84ms vs. 2.02ms) — the one place in this library where a full sort per group, rather than a running sum, actually shows up in the numbers. </w:t>
      </w:r>
      <w:r>
        <w:rPr>
          <w:rFonts w:ascii="Consolas" w:hAnsi="Consolas"/>
          <w:color w:val="1C5CAB"/>
          <w:sz w:val="19"/>
        </w:rPr>
        <w:t>.spread.onQuote</w:t>
      </w:r>
      <w:r>
        <w:rPr>
          <w:color w:val="3A3A38"/>
          <w:sz w:val="20"/>
        </w:rPr>
        <w:t xml:space="preserve"> (the real-time path) is flat at 0.004ms regardless of session size, as it should be — it upserts one row into a table keyed by a small, bounded (sym, aggression, marketStatus) key space, never touching the historical quote volume at all.</w:t>
      </w:r>
    </w:p>
    <w:p>
      <w:pPr>
        <w:spacing w:after="160"/>
      </w:pPr>
      <w:r>
        <w:rPr>
          <w:color w:val="3A3A38"/>
          <w:sz w:val="20"/>
        </w:rPr>
        <w:t xml:space="preserve">The two </w:t>
      </w:r>
      <w:r>
        <w:rPr>
          <w:rFonts w:ascii="Consolas" w:hAnsi="Consolas"/>
          <w:color w:val="1C5CAB"/>
          <w:sz w:val="19"/>
        </w:rPr>
        <w:t>&lt;0.001</w:t>
      </w:r>
      <w:r>
        <w:rPr>
          <w:color w:val="3A3A38"/>
          <w:sz w:val="20"/>
        </w:rPr>
        <w:t xml:space="preserve"> rows (</w:t>
      </w:r>
      <w:r>
        <w:rPr>
          <w:rFonts w:ascii="Consolas" w:hAnsi="Consolas"/>
          <w:color w:val="1C5CAB"/>
          <w:sz w:val="19"/>
        </w:rPr>
        <w:t>toTimespan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latest</w:t>
      </w:r>
      <w:r>
        <w:rPr>
          <w:color w:val="3A3A38"/>
          <w:sz w:val="20"/>
        </w:rPr>
        <w:t xml:space="preserve">) reported exactly </w:t>
      </w:r>
      <w:r>
        <w:rPr>
          <w:rFonts w:ascii="Consolas" w:hAnsi="Consolas"/>
          <w:color w:val="1C5CAB"/>
          <w:sz w:val="19"/>
        </w:rPr>
        <w:t>0</w:t>
      </w:r>
      <w:r>
        <w:rPr>
          <w:color w:val="3A3A38"/>
          <w:sz w:val="20"/>
        </w:rPr>
        <w:t xml:space="preserve"> from the profiler — below </w:t>
      </w:r>
      <w:r>
        <w:rPr>
          <w:rFonts w:ascii="Consolas" w:hAnsi="Consolas"/>
          <w:color w:val="1C5CAB"/>
          <w:sz w:val="19"/>
        </w:rPr>
        <w:t>\ts</w:t>
      </w:r>
      <w:r>
        <w:rPr>
          <w:color w:val="3A3A38"/>
          <w:sz w:val="20"/>
        </w:rPr>
        <w:t>'s millisecond resolution at this call cost, not literally free.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Explaining the Spread: Decomposing an FX Quote in kdb+/q</dc:title>
  <dc:subject/>
  <dc:creator>Spencer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