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b/>
          <w:color w:val="0B0B0B"/>
          <w:sz w:val="40"/>
        </w:rPr>
        <w:t>Explaining the Spread: Decomposing an FX Quote in kdb+/q</w:t>
      </w:r>
    </w:p>
    <w:p>
      <w:pPr>
        <w:pBdr>
          <w:bottom w:val="single" w:sz="6" w:space="1" w:color="c3c2b7"/>
        </w:pBdr>
        <w:spacing w:after="200"/>
      </w:pPr>
    </w:p>
    <w:p>
      <w:pPr>
        <w:spacing w:before="280" w:after="120"/>
      </w:pPr>
      <w:r>
        <w:rPr>
          <w:b/>
          <w:color w:val="0B0B0B"/>
          <w:sz w:val="28"/>
        </w:rPr>
        <w:t>Summary</w:t>
      </w:r>
    </w:p>
    <w:p>
      <w:pPr>
        <w:spacing w:after="160"/>
      </w:pPr>
      <w:r>
        <w:rPr>
          <w:color w:val="3A3A38"/>
          <w:sz w:val="20"/>
        </w:rPr>
        <w:t xml:space="preserve">In production FX pricing systems, a quoted spread is rarely a single, atomic figure — it is the sum of several independently governed adjustments layered on top of a reference level: a base markup, a client-tier skew, a volatility buffer, quote-stability smoothing, a fallback component, and a directional-signal adjustment. That composition isn't a modeling detail; it's operationally load-bearing. Two quotes can land on the same total spread by entirely different routes, and treating the total as one opaque number makes margin attribution, risk review, and client-fairness questions impossible to answer with any precision — you can see </w:t>
      </w:r>
      <w:r>
        <w:rPr>
          <w:i/>
          <w:color w:val="3A3A38"/>
          <w:sz w:val="20"/>
        </w:rPr>
        <w:t>that</w:t>
      </w:r>
      <w:r>
        <w:rPr>
          <w:color w:val="3A3A38"/>
          <w:sz w:val="20"/>
        </w:rPr>
        <w:t xml:space="preserve"> pricing moved, not </w:t>
      </w:r>
      <w:r>
        <w:rPr>
          <w:i/>
          <w:color w:val="3A3A38"/>
          <w:sz w:val="20"/>
        </w:rPr>
        <w:t>why</w:t>
      </w:r>
      <w:r>
        <w:rPr>
          <w:color w:val="3A3A38"/>
          <w:sz w:val="20"/>
        </w:rPr>
        <w:t>.</w:t>
      </w:r>
    </w:p>
    <w:p>
      <w:pPr>
        <w:spacing w:after="160"/>
      </w:pPr>
      <w:r>
        <w:rPr>
          <w:color w:val="3A3A38"/>
          <w:sz w:val="20"/>
        </w:rPr>
        <w:t>This piece is organized around three questions a pricing or risk team asks of any spread build-up, in increasing order of engineering difficulty:</w:t>
      </w:r>
    </w:p>
    <w:p>
      <w:pPr>
        <w:pStyle w:val="ListNumber"/>
        <w:spacing w:after="80"/>
      </w:pPr>
      <w:r>
        <w:rPr>
          <w:b/>
          <w:color w:val="3A3A38"/>
          <w:sz w:val="20"/>
        </w:rPr>
        <w:t>Composition</w:t>
      </w:r>
      <w:r>
        <w:rPr>
          <w:color w:val="3A3A38"/>
          <w:sz w:val="20"/>
        </w:rPr>
        <w:t xml:space="preserve"> — given the named components, what's the total quoted spread? Structurally trivial, a one-line row-wise sum; the risk is entirely in making sure every component is captured once and none is silently dropped or double-counted.</w:t>
      </w:r>
    </w:p>
    <w:p>
      <w:pPr>
        <w:pStyle w:val="ListNumber"/>
        <w:spacing w:after="80"/>
      </w:pPr>
      <w:r>
        <w:rPr>
          <w:b/>
          <w:color w:val="3A3A38"/>
          <w:sz w:val="20"/>
        </w:rPr>
        <w:t>Decomposition and aggregation</w:t>
      </w:r>
      <w:r>
        <w:rPr>
          <w:color w:val="3A3A38"/>
          <w:sz w:val="20"/>
        </w:rPr>
        <w:t xml:space="preserve"> — at production scale (thousands of quotes a day across symbols, aggression tiers, and market regimes), how much of the spread is attributable to </w:t>
      </w:r>
      <w:r>
        <w:rPr>
          <w:i/>
          <w:color w:val="3A3A38"/>
          <w:sz w:val="20"/>
        </w:rPr>
        <w:t>which</w:t>
      </w:r>
      <w:r>
        <w:rPr>
          <w:color w:val="3A3A38"/>
          <w:sz w:val="20"/>
        </w:rPr>
        <w:t xml:space="preserve"> component, on average, and does that attribution survive being cut by time instead of by tag? This is the question with the most at stake: get the weighting wrong and every downstream rollup misattributes margin or risk to the wrong component, without ever raising an error.</w:t>
      </w:r>
    </w:p>
    <w:p>
      <w:pPr>
        <w:pStyle w:val="ListNumber"/>
        <w:spacing w:after="80"/>
      </w:pPr>
      <w:r>
        <w:rPr>
          <w:b/>
          <w:color w:val="3A3A38"/>
          <w:sz w:val="20"/>
        </w:rPr>
        <w:t>Reconciliation</w:t>
      </w:r>
      <w:r>
        <w:rPr>
          <w:color w:val="3A3A38"/>
          <w:sz w:val="20"/>
        </w:rPr>
        <w:t xml:space="preserve"> — is what the model actually quoted consistent with an independent reference — richer, cheaper, in line? This is what turns an internal pricing decomposition into an externally checkable claim, rather than a number the model is left grading on its own homework.</w:t>
      </w:r>
    </w:p>
    <w:p>
      <w:pPr>
        <w:spacing w:after="160"/>
      </w:pPr>
      <w:r>
        <w:rPr>
          <w:color w:val="3A3A38"/>
          <w:sz w:val="20"/>
        </w:rPr>
        <w:t xml:space="preserve">Framed this way, the problem has a different shape from </w:t>
      </w:r>
      <w:r>
        <w:rPr>
          <w:color w:val="1C5CAB"/>
          <w:u w:val="single"/>
        </w:rPr>
        <w:t>markout / market impact</w:t>
      </w:r>
      <w:r>
        <w:rPr>
          <w:color w:val="3A3A38"/>
          <w:sz w:val="20"/>
        </w:rPr>
        <w:t>. There, the components are unobserved: a trade produces one noisy price curve, and a temporary/permanent split has to be statistically inferred from it after the fact. Here, the reverse is true — every component is already a column in the row at the moment the quote is generated, so nothing needs to be estimated. The engineering burden moves entirely downstream: aggregating an additive decomposition without corrupting the weighting, and validating the result against a source outside the model itself.</w:t>
      </w:r>
    </w:p>
    <w:p>
      <w:pPr>
        <w:spacing w:before="280" w:after="120"/>
      </w:pPr>
      <w:r>
        <w:rPr>
          <w:b/>
          <w:color w:val="0B0B0B"/>
          <w:sz w:val="28"/>
        </w:rPr>
        <w:t>Repo</w:t>
      </w:r>
    </w:p>
    <w:p>
      <w:pPr>
        <w:pStyle w:val="ListBullet"/>
        <w:spacing w:after="80"/>
      </w:pPr>
      <w:r>
        <w:rPr>
          <w:color w:val="3A3A38"/>
          <w:sz w:val="20"/>
        </w:rPr>
        <w:t xml:space="preserve">The code discussed in this article is at: </w:t>
      </w:r>
      <w:r>
        <w:rPr>
          <w:b/>
          <w:color w:val="3A3A38"/>
          <w:sz w:val="20"/>
        </w:rPr>
        <w:t>https://github.com/SpencerFX/q-link</w:t>
      </w:r>
    </w:p>
    <w:p>
      <w:pPr>
        <w:pStyle w:val="ListBullet"/>
        <w:spacing w:after="80"/>
      </w:pPr>
      <w:r>
        <w:rPr>
          <w:color w:val="3A3A38"/>
          <w:sz w:val="20"/>
        </w:rPr>
        <w:t>To load the functions, synthetic data, and explore interactively: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572512" cy="1139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un-initSpre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72512" cy="113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q ./scripts/initSpread.q</w:t>
      </w:r>
    </w:p>
    <w:p>
      <w:pPr>
        <w:pStyle w:val="ListBullet"/>
        <w:spacing w:after="80"/>
      </w:pPr>
      <w:r>
        <w:rPr>
          <w:color w:val="3A3A38"/>
          <w:sz w:val="20"/>
        </w:rPr>
        <w:t>To run the test suite (hard assertions, ground-truth checks included):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1344" cy="11399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un-testSpr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1344" cy="1139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q ./test/testSpread.q</w:t>
      </w:r>
    </w:p>
    <w:p>
      <w:pPr>
        <w:spacing w:before="280" w:after="120"/>
      </w:pPr>
      <w:r>
        <w:rPr>
          <w:b/>
          <w:color w:val="0B0B0B"/>
          <w:sz w:val="28"/>
        </w:rPr>
        <w:t>The component model</w:t>
      </w:r>
    </w:p>
    <w:p>
      <w:pPr>
        <w:spacing w:after="160"/>
      </w:pPr>
      <w:r>
        <w:rPr>
          <w:color w:val="3A3A38"/>
          <w:sz w:val="20"/>
        </w:rPr>
        <w:t xml:space="preserve">The starting assumption is that a quote's total spread decomposes losslessly into seven named, independently sourced components — the pricing engine's own build-up, not a statistical approximation of one reconstructed after the fact. </w:t>
      </w:r>
      <w:r>
        <w:rPr>
          <w:rFonts w:ascii="Consolas" w:hAnsi="Consolas"/>
          <w:color w:val="1C5CAB"/>
          <w:sz w:val="19"/>
        </w:rPr>
        <w:t>.spread.componentCols</w:t>
      </w:r>
      <w:r>
        <w:rPr>
          <w:color w:val="3A3A38"/>
          <w:sz w:val="20"/>
        </w:rPr>
        <w:t xml:space="preserve"> fixes that vocabulary; </w:t>
      </w:r>
      <w:r>
        <w:rPr>
          <w:rFonts w:ascii="Consolas" w:hAnsi="Consolas"/>
          <w:color w:val="1C5CAB"/>
          <w:sz w:val="19"/>
        </w:rPr>
        <w:t>.spread.compose</w:t>
      </w:r>
      <w:r>
        <w:rPr>
          <w:color w:val="3A3A38"/>
          <w:sz w:val="20"/>
        </w:rPr>
        <w:t xml:space="preserve"> implements the only claim this section makes: the total is the row-wise sum, nothing more.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5393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nentCols-compo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3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.spread.componentCols + .spread.compose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47616" cy="276758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component-tab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47616" cy="2767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Component reference table</w:t>
      </w:r>
    </w:p>
    <w:p>
      <w:pPr>
        <w:spacing w:after="160"/>
      </w:pPr>
      <w:r>
        <w:rPr>
          <w:color w:val="3A3A38"/>
          <w:sz w:val="20"/>
        </w:rPr>
        <w:t xml:space="preserve">As an equation: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= </w:t>
      </w:r>
      <w:r>
        <w:rPr>
          <w:rFonts w:ascii="Consolas" w:hAnsi="Consolas"/>
          <w:color w:val="1C5CAB"/>
          <w:sz w:val="19"/>
        </w:rPr>
        <w:t>anchorSprd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baseSprd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tierSprd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stabilitySprd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fallbackSprd</w:t>
      </w:r>
      <w:r>
        <w:rPr>
          <w:color w:val="3A3A38"/>
          <w:sz w:val="20"/>
        </w:rPr>
        <w:t xml:space="preserve"> + </w:t>
      </w:r>
      <w:r>
        <w:rPr>
          <w:rFonts w:ascii="Consolas" w:hAnsi="Consolas"/>
          <w:color w:val="1C5CAB"/>
          <w:sz w:val="19"/>
        </w:rPr>
        <w:t>signalSprd</w:t>
      </w:r>
      <w:r>
        <w:rPr>
          <w:color w:val="3A3A38"/>
          <w:sz w:val="20"/>
        </w:rPr>
        <w:t xml:space="preserve"> — or more generally,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= Σ over </w:t>
      </w:r>
      <w:r>
        <w:rPr>
          <w:rFonts w:ascii="Consolas" w:hAnsi="Consolas"/>
          <w:color w:val="1C5CAB"/>
          <w:sz w:val="19"/>
        </w:rPr>
        <w:t>componentCols</w:t>
      </w:r>
      <w:r>
        <w:rPr>
          <w:color w:val="3A3A38"/>
          <w:sz w:val="20"/>
        </w:rPr>
        <w:t>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04288" cy="410260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eta-quote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04288" cy="4102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q)meta scenario`quotes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.spread.decompose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.spread.waterfall</w:t>
      </w:r>
      <w:r>
        <w:rPr>
          <w:color w:val="3A3A38"/>
          <w:sz w:val="20"/>
        </w:rPr>
        <w:t xml:space="preserve"> restate that same claim in the two shapes downstream analysis actually needs: </w:t>
      </w:r>
      <w:r>
        <w:rPr>
          <w:rFonts w:ascii="Consolas" w:hAnsi="Consolas"/>
          <w:color w:val="1C5CAB"/>
          <w:sz w:val="19"/>
        </w:rPr>
        <w:t>decompose</w:t>
      </w:r>
      <w:r>
        <w:rPr>
          <w:color w:val="3A3A38"/>
          <w:sz w:val="20"/>
        </w:rPr>
        <w:t xml:space="preserve"> melts a wide row into one row per (quote, component) — the shape a stacked-bar or attribution view requires — and </w:t>
      </w:r>
      <w:r>
        <w:rPr>
          <w:rFonts w:ascii="Consolas" w:hAnsi="Consolas"/>
          <w:color w:val="1C5CAB"/>
          <w:sz w:val="19"/>
        </w:rPr>
        <w:t>waterfall</w:t>
      </w:r>
      <w:r>
        <w:rPr>
          <w:color w:val="3A3A38"/>
          <w:sz w:val="20"/>
        </w:rPr>
        <w:t xml:space="preserve"> appends a running cumulative column per component, so </w:t>
      </w:r>
      <w:r>
        <w:rPr>
          <w:rFonts w:ascii="Consolas" w:hAnsi="Consolas"/>
          <w:color w:val="1C5CAB"/>
          <w:sz w:val="19"/>
        </w:rPr>
        <w:t>cum_signalSprd == totalSprd</w:t>
      </w:r>
      <w:r>
        <w:rPr>
          <w:color w:val="3A3A38"/>
          <w:sz w:val="20"/>
        </w:rPr>
        <w:t xml:space="preserve"> holds on every row by construction. Neither is fitted: there is no residual and no goodness-of-fit statistic to report, because nothing here is being estimated — the exactness itself is the deliverable.</w:t>
      </w:r>
    </w:p>
    <w:p>
      <w:pPr>
        <w:spacing w:after="160"/>
      </w:pPr>
      <w:r>
        <w:rPr>
          <w:color w:val="3A3A38"/>
          <w:sz w:val="20"/>
        </w:rPr>
        <w:t xml:space="preserve">For each component, </w:t>
      </w:r>
      <w:r>
        <w:rPr>
          <w:rFonts w:ascii="Consolas" w:hAnsi="Consolas"/>
          <w:color w:val="1C5CAB"/>
          <w:sz w:val="19"/>
        </w:rPr>
        <w:t>decompose</w:t>
      </w:r>
      <w:r>
        <w:rPr>
          <w:color w:val="3A3A38"/>
          <w:sz w:val="20"/>
        </w:rPr>
        <w:t xml:space="preserve"> computes </w:t>
      </w:r>
      <w:r>
        <w:rPr>
          <w:rFonts w:ascii="Consolas" w:hAnsi="Consolas"/>
          <w:color w:val="1C5CAB"/>
          <w:sz w:val="19"/>
        </w:rPr>
        <w:t>contributionBps</w:t>
      </w:r>
      <w:r>
        <w:rPr>
          <w:color w:val="3A3A38"/>
          <w:sz w:val="20"/>
        </w:rPr>
        <w:t xml:space="preserve"> = 1e4 × </w:t>
      </w:r>
      <w:r>
        <w:rPr>
          <w:rFonts w:ascii="Consolas" w:hAnsi="Consolas"/>
          <w:color w:val="1C5CAB"/>
          <w:sz w:val="19"/>
        </w:rPr>
        <w:t>componentValue</w:t>
      </w:r>
      <w:r>
        <w:rPr>
          <w:color w:val="3A3A38"/>
          <w:sz w:val="20"/>
        </w:rPr>
        <w:t xml:space="preserve">, and </w:t>
      </w:r>
      <w:r>
        <w:rPr>
          <w:rFonts w:ascii="Consolas" w:hAnsi="Consolas"/>
          <w:color w:val="1C5CAB"/>
          <w:sz w:val="19"/>
        </w:rPr>
        <w:t>pctOfTotal</w:t>
      </w:r>
      <w:r>
        <w:rPr>
          <w:color w:val="3A3A38"/>
          <w:sz w:val="20"/>
        </w:rPr>
        <w:t xml:space="preserve"> = 100 × </w:t>
      </w:r>
      <w:r>
        <w:rPr>
          <w:rFonts w:ascii="Consolas" w:hAnsi="Consolas"/>
          <w:color w:val="1C5CAB"/>
          <w:sz w:val="19"/>
        </w:rPr>
        <w:t>componentValue</w:t>
      </w:r>
      <w:r>
        <w:rPr>
          <w:color w:val="3A3A38"/>
          <w:sz w:val="20"/>
        </w:rPr>
        <w:t xml:space="preserve"> ÷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. </w:t>
      </w:r>
      <w:r>
        <w:rPr>
          <w:rFonts w:ascii="Consolas" w:hAnsi="Consolas"/>
          <w:color w:val="1C5CAB"/>
          <w:sz w:val="19"/>
        </w:rPr>
        <w:t>waterfall</w:t>
      </w:r>
      <w:r>
        <w:rPr>
          <w:color w:val="3A3A38"/>
          <w:sz w:val="20"/>
        </w:rPr>
        <w:t xml:space="preserve">'s cumulative columns follow the same </w:t>
      </w:r>
      <w:r>
        <w:rPr>
          <w:rFonts w:ascii="Consolas" w:hAnsi="Consolas"/>
          <w:color w:val="1C5CAB"/>
          <w:sz w:val="19"/>
        </w:rPr>
        <w:t>componentCols</w:t>
      </w:r>
      <w:r>
        <w:rPr>
          <w:color w:val="3A3A38"/>
          <w:sz w:val="20"/>
        </w:rPr>
        <w:t xml:space="preserve"> order: </w:t>
      </w:r>
      <w:r>
        <w:rPr>
          <w:rFonts w:ascii="Consolas" w:hAnsi="Consolas"/>
          <w:color w:val="1C5CAB"/>
          <w:sz w:val="19"/>
        </w:rPr>
        <w:t>cum_anchorSprd</w:t>
      </w:r>
      <w:r>
        <w:rPr>
          <w:color w:val="3A3A38"/>
          <w:sz w:val="20"/>
        </w:rPr>
        <w:t xml:space="preserve"> = </w:t>
      </w:r>
      <w:r>
        <w:rPr>
          <w:rFonts w:ascii="Consolas" w:hAnsi="Consolas"/>
          <w:color w:val="1C5CAB"/>
          <w:sz w:val="19"/>
        </w:rPr>
        <w:t>anchorSprd</w:t>
      </w:r>
      <w:r>
        <w:rPr>
          <w:color w:val="3A3A38"/>
          <w:sz w:val="20"/>
        </w:rPr>
        <w:t xml:space="preserve">, and each subsequent </w:t>
      </w:r>
      <w:r>
        <w:rPr>
          <w:rFonts w:ascii="Consolas" w:hAnsi="Consolas"/>
          <w:color w:val="1C5CAB"/>
          <w:sz w:val="19"/>
        </w:rPr>
        <w:t>cum_c</w:t>
      </w:r>
      <w:r>
        <w:rPr>
          <w:color w:val="3A3A38"/>
          <w:sz w:val="20"/>
        </w:rPr>
        <w:t xml:space="preserve"> = (previous </w:t>
      </w:r>
      <w:r>
        <w:rPr>
          <w:rFonts w:ascii="Consolas" w:hAnsi="Consolas"/>
          <w:color w:val="1C5CAB"/>
          <w:sz w:val="19"/>
        </w:rPr>
        <w:t>cum_c</w:t>
      </w:r>
      <w:r>
        <w:rPr>
          <w:color w:val="3A3A38"/>
          <w:sz w:val="20"/>
        </w:rPr>
        <w:t xml:space="preserve">) + </w:t>
      </w:r>
      <w:r>
        <w:rPr>
          <w:rFonts w:ascii="Consolas" w:hAnsi="Consolas"/>
          <w:color w:val="1C5CAB"/>
          <w:sz w:val="19"/>
        </w:rPr>
        <w:t>c</w:t>
      </w:r>
      <w:r>
        <w:rPr>
          <w:color w:val="3A3A38"/>
          <w:sz w:val="20"/>
        </w:rPr>
        <w:t xml:space="preserve">, so </w:t>
      </w:r>
      <w:r>
        <w:rPr>
          <w:rFonts w:ascii="Consolas" w:hAnsi="Consolas"/>
          <w:color w:val="1C5CAB"/>
          <w:sz w:val="19"/>
        </w:rPr>
        <w:t>cum_signalSprd</w:t>
      </w:r>
      <w:r>
        <w:rPr>
          <w:color w:val="3A3A38"/>
          <w:sz w:val="20"/>
        </w:rPr>
        <w:t xml:space="preserve"> =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by construction — the invariant the test suite asserts directly, rather than trusting that it holds.</w:t>
      </w:r>
    </w:p>
    <w:p>
      <w:pPr>
        <w:spacing w:before="280" w:after="120"/>
      </w:pPr>
      <w:r>
        <w:rPr>
          <w:b/>
          <w:color w:val="0B0B0B"/>
          <w:sz w:val="28"/>
        </w:rPr>
        <w:t>One weighting rule, three entry points</w:t>
      </w:r>
    </w:p>
    <w:p>
      <w:pPr>
        <w:spacing w:after="160"/>
      </w:pPr>
      <w:r>
        <w:rPr>
          <w:color w:val="3A3A38"/>
          <w:sz w:val="20"/>
        </w:rPr>
        <w:t xml:space="preserve">Aggregation is where a decomposition like this typically breaks in practice. A single quote's spread carries no information on its own — what a pricing or risk review actually needs is the size-weighted average across many quotes, and that weight has to be applied </w:t>
      </w:r>
      <w:r>
        <w:rPr>
          <w:i/>
          <w:color w:val="3A3A38"/>
          <w:sz w:val="20"/>
        </w:rPr>
        <w:t>identically</w:t>
      </w:r>
      <w:r>
        <w:rPr>
          <w:color w:val="3A3A38"/>
          <w:sz w:val="20"/>
        </w:rPr>
        <w:t xml:space="preserve"> regardless of whether the rollup is by regime, by time, or by nothing at all. An inconsistency here doesn't raise an error; it just produces a number that's quietly wrong. The fix applied here is structural rather than procedural: one private helper builds the aggregate-column specification once, and every public rollup is required to route through it.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55920" cy="271881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wavgAggCols-wavgB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27188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.spread.priv.wavgAggCols + .spread.wavgBy</w:t>
      </w:r>
    </w:p>
    <w:p>
      <w:pPr>
        <w:spacing w:after="160"/>
      </w:pPr>
      <w:r>
        <w:rPr>
          <w:color w:val="3A3A38"/>
          <w:sz w:val="20"/>
        </w:rPr>
        <w:t xml:space="preserve">The formula behind every one of those aggregates, for weights </w:t>
      </w:r>
      <w:r>
        <w:rPr>
          <w:i/>
          <w:color w:val="3A3A38"/>
          <w:sz w:val="20"/>
        </w:rPr>
        <w:t>w</w:t>
      </w:r>
      <w:r>
        <w:rPr>
          <w:color w:val="3A3A38"/>
          <w:sz w:val="20"/>
        </w:rPr>
        <w:t xml:space="preserve"> and values </w:t>
      </w:r>
      <w:r>
        <w:rPr>
          <w:i/>
          <w:color w:val="3A3A38"/>
          <w:sz w:val="20"/>
        </w:rPr>
        <w:t>x</w:t>
      </w:r>
      <w:r>
        <w:rPr>
          <w:color w:val="3A3A38"/>
          <w:sz w:val="20"/>
        </w:rPr>
        <w:t>: wavg = Σ(</w:t>
      </w:r>
      <w:r>
        <w:rPr>
          <w:i/>
          <w:color w:val="3A3A38"/>
          <w:sz w:val="20"/>
        </w:rPr>
        <w:t>w</w:t>
      </w:r>
      <w:r>
        <w:rPr>
          <w:color w:val="3A3A38"/>
          <w:sz w:val="20"/>
        </w:rPr>
        <w:t>×</w:t>
      </w:r>
      <w:r>
        <w:rPr>
          <w:i/>
          <w:color w:val="3A3A38"/>
          <w:sz w:val="20"/>
        </w:rPr>
        <w:t>x</w:t>
      </w:r>
      <w:r>
        <w:rPr>
          <w:color w:val="3A3A38"/>
          <w:sz w:val="20"/>
        </w:rPr>
        <w:t>) ÷ Σ</w:t>
      </w:r>
      <w:r>
        <w:rPr>
          <w:i/>
          <w:color w:val="3A3A38"/>
          <w:sz w:val="20"/>
        </w:rPr>
        <w:t>w</w:t>
      </w:r>
      <w:r>
        <w:rPr>
          <w:color w:val="3A3A38"/>
          <w:sz w:val="20"/>
        </w:rPr>
        <w:t xml:space="preserve"> — exactly what q's built-in </w:t>
      </w:r>
      <w:r>
        <w:rPr>
          <w:rFonts w:ascii="Consolas" w:hAnsi="Consolas"/>
          <w:color w:val="1C5CAB"/>
          <w:sz w:val="19"/>
        </w:rPr>
        <w:t>wavg</w:t>
      </w:r>
      <w:r>
        <w:rPr>
          <w:color w:val="3A3A38"/>
          <w:sz w:val="20"/>
        </w:rPr>
        <w:t xml:space="preserve"> computes, applied independently to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and each of the seven components rather than to a plain unweighted mean.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wavgAggCols</w:t>
      </w:r>
      <w:r>
        <w:rPr>
          <w:color w:val="3A3A38"/>
          <w:sz w:val="20"/>
        </w:rPr>
        <w:t xml:space="preserve"> builds the spec as a single key-vector/value-vector zip — </w:t>
      </w:r>
      <w:r>
        <w:rPr>
          <w:rFonts w:ascii="Consolas" w:hAnsi="Consolas"/>
          <w:color w:val="1C5CAB"/>
          <w:sz w:val="19"/>
        </w:rPr>
        <w:t>`weight,wCols</w:t>
      </w:r>
      <w:r>
        <w:rPr>
          <w:color w:val="3A3A38"/>
          <w:sz w:val="20"/>
        </w:rPr>
        <w:t xml:space="preserve"> for keys, </w:t>
      </w:r>
      <w:r>
        <w:rPr>
          <w:rFonts w:ascii="Consolas" w:hAnsi="Consolas"/>
          <w:color w:val="1C5CAB"/>
          <w:sz w:val="19"/>
        </w:rPr>
        <w:t>(sum;`weight)</w:t>
      </w:r>
      <w:r>
        <w:rPr>
          <w:color w:val="3A3A38"/>
          <w:sz w:val="20"/>
        </w:rPr>
        <w:t xml:space="preserve"> followed by one </w:t>
      </w:r>
      <w:r>
        <w:rPr>
          <w:rFonts w:ascii="Consolas" w:hAnsi="Consolas"/>
          <w:color w:val="1C5CAB"/>
          <w:sz w:val="19"/>
        </w:rPr>
        <w:t>(wavg;`weight;col)</w:t>
      </w:r>
      <w:r>
        <w:rPr>
          <w:color w:val="3A3A38"/>
          <w:sz w:val="20"/>
        </w:rPr>
        <w:t xml:space="preserve"> tuple per column for values — rather than building a one-item dict per column and unioning them together. The result is identical; the cost isn't: one dict allocation instead of </w:t>
      </w:r>
      <w:r>
        <w:rPr>
          <w:rFonts w:ascii="Consolas" w:hAnsi="Consolas"/>
          <w:color w:val="1C5CAB"/>
          <w:sz w:val="19"/>
        </w:rPr>
        <w:t>count[wCols]+1</w:t>
      </w:r>
      <w:r>
        <w:rPr>
          <w:color w:val="3A3A38"/>
          <w:sz w:val="20"/>
        </w:rPr>
        <w:t>.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.spread.byTime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.spread.byRegime</w:t>
      </w:r>
      <w:r>
        <w:rPr>
          <w:color w:val="3A3A38"/>
          <w:sz w:val="20"/>
        </w:rPr>
        <w:t xml:space="preserve"> are both a handful of lines on top of the same helper: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swaps in a time-bucket parse-tree as the group-by key, </w:t>
      </w:r>
      <w:r>
        <w:rPr>
          <w:rFonts w:ascii="Consolas" w:hAnsi="Consolas"/>
          <w:color w:val="1C5CAB"/>
          <w:sz w:val="19"/>
        </w:rPr>
        <w:t>byRegime</w:t>
      </w:r>
      <w:r>
        <w:rPr>
          <w:color w:val="3A3A38"/>
          <w:sz w:val="20"/>
        </w:rPr>
        <w:t xml:space="preserve"> calls </w:t>
      </w:r>
      <w:r>
        <w:rPr>
          <w:rFonts w:ascii="Consolas" w:hAnsi="Consolas"/>
          <w:color w:val="1C5CAB"/>
          <w:sz w:val="19"/>
        </w:rPr>
        <w:t>wavgBy</w:t>
      </w:r>
      <w:r>
        <w:rPr>
          <w:color w:val="3A3A38"/>
          <w:sz w:val="20"/>
        </w:rPr>
        <w:t xml:space="preserve"> directly with whatever regime columns the caller supplies (e.g. </w:t>
      </w:r>
      <w:r>
        <w:rPr>
          <w:rFonts w:ascii="Consolas" w:hAnsi="Consolas"/>
          <w:color w:val="1C5CAB"/>
          <w:sz w:val="19"/>
        </w:rPr>
        <w:t>`aggression`marketStatus</w:t>
      </w:r>
      <w:r>
        <w:rPr>
          <w:color w:val="3A3A38"/>
          <w:sz w:val="20"/>
        </w:rPr>
        <w:t>) prepended to any extra keys. The result is one weighting convention enforced across three distinct entry points, rather than three independent chances to get it wrong.</w:t>
      </w:r>
    </w:p>
    <w:p>
      <w:pPr>
        <w:spacing w:before="280" w:after="120"/>
      </w:pPr>
      <w:r>
        <w:rPr>
          <w:b/>
          <w:color w:val="0B0B0B"/>
          <w:sz w:val="28"/>
        </w:rPr>
        <w:t>On data</w:t>
      </w:r>
    </w:p>
    <w:p>
      <w:pPr>
        <w:spacing w:after="160"/>
      </w:pPr>
      <w:r>
        <w:rPr>
          <w:color w:val="3A3A38"/>
          <w:sz w:val="20"/>
        </w:rPr>
        <w:t xml:space="preserve">Validating an aggregation pipeline against real production data has an obvious failure mode: a plausible-looking number and a correct one are indistinguishable without a known answer to check against. </w:t>
      </w:r>
      <w:r>
        <w:rPr>
          <w:rFonts w:ascii="Consolas" w:hAnsi="Consolas"/>
          <w:color w:val="1C5CAB"/>
          <w:sz w:val="19"/>
        </w:rPr>
        <w:t>data/spreadGenerator.q</w:t>
      </w:r>
      <w:r>
        <w:rPr>
          <w:color w:val="3A3A38"/>
          <w:sz w:val="20"/>
        </w:rPr>
        <w:t xml:space="preserve"> exists to remove that ambiguity — it builds a synthetic session with three effects injected in advance, each carrying a known ground-truth value the analytics functions are then required to recover:</w:t>
      </w:r>
    </w:p>
    <w:p>
      <w:pPr>
        <w:pStyle w:val="ListBullet"/>
        <w:spacing w:after="80"/>
      </w:pPr>
      <w:r>
        <w:rPr>
          <w:b/>
          <w:color w:val="3A3A38"/>
          <w:sz w:val="20"/>
        </w:rPr>
        <w:t>A market-status regime shift.</w:t>
      </w:r>
      <w:r>
        <w:rPr>
          <w:color w:val="3A3A38"/>
          <w:sz w:val="20"/>
        </w:rPr>
        <w:t xml:space="preserve"> The first half of the session is tagged </w:t>
      </w:r>
      <w:r>
        <w:rPr>
          <w:rFonts w:ascii="Consolas" w:hAnsi="Consolas"/>
          <w:color w:val="1C5CAB"/>
          <w:sz w:val="19"/>
        </w:rPr>
        <w:t>normal</w:t>
      </w:r>
      <w:r>
        <w:rPr>
          <w:color w:val="3A3A38"/>
          <w:sz w:val="20"/>
        </w:rPr>
        <w:t xml:space="preserve">, the second half </w:t>
      </w:r>
      <w:r>
        <w:rPr>
          <w:rFonts w:ascii="Consolas" w:hAnsi="Consolas"/>
          <w:color w:val="1C5CAB"/>
          <w:sz w:val="19"/>
        </w:rPr>
        <w:t>stressed</w:t>
      </w:r>
      <w:r>
        <w:rPr>
          <w:color w:val="3A3A38"/>
          <w:sz w:val="20"/>
        </w:rPr>
        <w:t xml:space="preserve">, and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is multiplied by a known factor (</w:t>
      </w:r>
      <w:r>
        <w:rPr>
          <w:b/>
          <w:color w:val="3A3A38"/>
          <w:sz w:val="20"/>
        </w:rPr>
        <w:t>4.0x</w:t>
      </w:r>
      <w:r>
        <w:rPr>
          <w:color w:val="3A3A38"/>
          <w:sz w:val="20"/>
        </w:rPr>
        <w:t>) for every stressed quote — nothing else is touched, isolating the effect to one component.</w:t>
      </w:r>
    </w:p>
    <w:p>
      <w:pPr>
        <w:pStyle w:val="ListBullet"/>
        <w:spacing w:after="80"/>
      </w:pPr>
      <w:r>
        <w:rPr>
          <w:b/>
          <w:color w:val="3A3A38"/>
          <w:sz w:val="20"/>
        </w:rPr>
        <w:t>An aggression tightening.</w:t>
      </w:r>
      <w:r>
        <w:rPr>
          <w:color w:val="3A3A38"/>
          <w:sz w:val="20"/>
        </w:rPr>
        <w:t xml:space="preserve"> </w:t>
      </w:r>
      <w:r>
        <w:rPr>
          <w:rFonts w:ascii="Consolas" w:hAnsi="Consolas"/>
          <w:color w:val="1C5CAB"/>
          <w:sz w:val="19"/>
        </w:rPr>
        <w:t>baseSprd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tierSprd</w:t>
      </w:r>
      <w:r>
        <w:rPr>
          <w:color w:val="3A3A38"/>
          <w:sz w:val="20"/>
        </w:rPr>
        <w:t xml:space="preserve"> scale by a known per-aggression-level multiplier (</w:t>
      </w:r>
      <w:r>
        <w:rPr>
          <w:rFonts w:ascii="Consolas" w:hAnsi="Consolas"/>
          <w:color w:val="1C5CAB"/>
          <w:sz w:val="19"/>
        </w:rPr>
        <w:t>low</w:t>
      </w:r>
      <w:r>
        <w:rPr>
          <w:color w:val="3A3A38"/>
          <w:sz w:val="20"/>
        </w:rPr>
        <w:t xml:space="preserve">=1.0, </w:t>
      </w:r>
      <w:r>
        <w:rPr>
          <w:rFonts w:ascii="Consolas" w:hAnsi="Consolas"/>
          <w:color w:val="1C5CAB"/>
          <w:sz w:val="19"/>
        </w:rPr>
        <w:t>medium</w:t>
      </w:r>
      <w:r>
        <w:rPr>
          <w:color w:val="3A3A38"/>
          <w:sz w:val="20"/>
        </w:rPr>
        <w:t xml:space="preserve">=0.7, </w:t>
      </w:r>
      <w:r>
        <w:rPr>
          <w:rFonts w:ascii="Consolas" w:hAnsi="Consolas"/>
          <w:color w:val="1C5CAB"/>
          <w:sz w:val="19"/>
        </w:rPr>
        <w:t>high</w:t>
      </w:r>
      <w:r>
        <w:rPr>
          <w:color w:val="3A3A38"/>
          <w:sz w:val="20"/>
        </w:rPr>
        <w:t>=0.4), modeling the standard pricing behavior that more aggressive tiers get tighter spreads.</w:t>
      </w:r>
    </w:p>
    <w:p>
      <w:pPr>
        <w:pStyle w:val="ListBullet"/>
        <w:spacing w:after="80"/>
      </w:pPr>
      <w:r>
        <w:rPr>
          <w:b/>
          <w:color w:val="3A3A38"/>
          <w:sz w:val="20"/>
        </w:rPr>
        <w:t>An independent benchmark series</w:t>
      </w:r>
      <w:r>
        <w:rPr>
          <w:color w:val="3A3A38"/>
          <w:sz w:val="20"/>
        </w:rPr>
        <w:t xml:space="preserve">, built from the model's own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minus a known constant offset (</w:t>
      </w:r>
      <w:r>
        <w:rPr>
          <w:b/>
          <w:color w:val="3A3A38"/>
          <w:sz w:val="20"/>
        </w:rPr>
        <w:t>0.05</w:t>
      </w:r>
      <w:r>
        <w:rPr>
          <w:color w:val="3A3A38"/>
          <w:sz w:val="20"/>
        </w:rPr>
        <w:t xml:space="preserve"> price units, i.e. 500 on the </w:t>
      </w:r>
      <w:r>
        <w:rPr>
          <w:rFonts w:ascii="Consolas" w:hAnsi="Consolas"/>
          <w:color w:val="1C5CAB"/>
          <w:sz w:val="19"/>
        </w:rPr>
        <w:t>1e4*</w:t>
      </w:r>
      <w:r>
        <w:rPr>
          <w:color w:val="3A3A38"/>
          <w:sz w:val="20"/>
        </w:rPr>
        <w:t xml:space="preserve"> bps convention </w:t>
      </w:r>
      <w:r>
        <w:rPr>
          <w:rFonts w:ascii="Consolas" w:hAnsi="Consolas"/>
          <w:color w:val="1C5CAB"/>
          <w:sz w:val="19"/>
        </w:rPr>
        <w:t>.spread.vsReference</w:t>
      </w:r>
      <w:r>
        <w:rPr>
          <w:color w:val="3A3A38"/>
          <w:sz w:val="20"/>
        </w:rPr>
        <w:t xml:space="preserve"> uses) plus noise — standing in for a rate the model didn't produce itself, specifically to exercise the reconciliation path.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77915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spreadGenerator-inject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91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Injected stress/benchmark snippet</w:t>
      </w:r>
    </w:p>
    <w:p>
      <w:pPr>
        <w:spacing w:after="160"/>
      </w:pPr>
      <w:r>
        <w:rPr>
          <w:color w:val="3A3A38"/>
          <w:sz w:val="20"/>
        </w:rPr>
        <w:t>To be clear about what this buys and what it doesn't: this generator is not a model of how a real pricing engine sets a spread. It's a controlled way to know the correct answer in advance — the same role GBM plays in the markout/impact article's synthetic rate series — so that "the function ran without error" and "the function is correct" remain distinguishable claims.</w:t>
      </w:r>
    </w:p>
    <w:p>
      <w:pPr>
        <w:spacing w:before="280" w:after="120"/>
      </w:pPr>
      <w:r>
        <w:rPr>
          <w:b/>
          <w:color w:val="0B0B0B"/>
          <w:sz w:val="28"/>
        </w:rPr>
        <w:t>Interpreting the results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scripts/initSpread.q</w:t>
      </w:r>
      <w:r>
        <w:rPr>
          <w:color w:val="3A3A38"/>
          <w:sz w:val="20"/>
        </w:rPr>
        <w:t xml:space="preserve"> runs the recovery check end to end: a 6,000-quote synthetic session (3 symbols, 3 aggression levels, two regimes) through </w:t>
      </w:r>
      <w:r>
        <w:rPr>
          <w:rFonts w:ascii="Consolas" w:hAnsi="Consolas"/>
          <w:color w:val="1C5CAB"/>
          <w:sz w:val="19"/>
        </w:rPr>
        <w:t>.spread.wavgBy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.spread.vsReference</w:t>
      </w:r>
      <w:r>
        <w:rPr>
          <w:color w:val="3A3A38"/>
          <w:sz w:val="20"/>
        </w:rPr>
        <w:t xml:space="preserve">, leaving </w:t>
      </w:r>
      <w:r>
        <w:rPr>
          <w:rFonts w:ascii="Consolas" w:hAnsi="Consolas"/>
          <w:color w:val="1C5CAB"/>
          <w:sz w:val="19"/>
        </w:rPr>
        <w:t>recovery</w:t>
      </w:r>
      <w:r>
        <w:rPr>
          <w:color w:val="3A3A38"/>
          <w:sz w:val="20"/>
        </w:rPr>
        <w:t xml:space="preserve"> in the workspace as the result — the same assertion </w:t>
      </w:r>
      <w:r>
        <w:rPr>
          <w:rFonts w:ascii="Consolas" w:hAnsi="Consolas"/>
          <w:color w:val="1C5CAB"/>
          <w:sz w:val="19"/>
        </w:rPr>
        <w:t>test/testSpread.q</w:t>
      </w:r>
      <w:r>
        <w:rPr>
          <w:color w:val="3A3A38"/>
          <w:sz w:val="20"/>
        </w:rPr>
        <w:t xml:space="preserve"> runs non-interactively as a pass/fail gate: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047744" cy="193243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covery-outpu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744" cy="19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q)recovery</w:t>
      </w:r>
    </w:p>
    <w:p>
      <w:pPr>
        <w:pStyle w:val="ListBullet"/>
        <w:spacing w:after="80"/>
      </w:pPr>
      <w:r>
        <w:rPr>
          <w:b/>
          <w:color w:val="3A3A38"/>
          <w:sz w:val="20"/>
        </w:rPr>
        <w:t>stressVolMult</w:t>
      </w:r>
      <w:r>
        <w:rPr>
          <w:color w:val="3A3A38"/>
          <w:sz w:val="20"/>
        </w:rPr>
        <w:t xml:space="preserve"> — grouping all 6,000 quotes by </w:t>
      </w:r>
      <w:r>
        <w:rPr>
          <w:rFonts w:ascii="Consolas" w:hAnsi="Consolas"/>
          <w:color w:val="1C5CAB"/>
          <w:sz w:val="19"/>
        </w:rPr>
        <w:t>marketStatus</w:t>
      </w:r>
      <w:r>
        <w:rPr>
          <w:color w:val="3A3A38"/>
          <w:sz w:val="20"/>
        </w:rPr>
        <w:t xml:space="preserve"> alone and taking the ratio of average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(stressed ÷ normal) recovers the injected 4.0x multiplier to within ~0.1%.</w:t>
      </w:r>
    </w:p>
    <w:p>
      <w:pPr>
        <w:pStyle w:val="ListBullet"/>
        <w:spacing w:after="80"/>
      </w:pPr>
      <w:r>
        <w:rPr>
          <w:b/>
          <w:color w:val="3A3A38"/>
          <w:sz w:val="20"/>
        </w:rPr>
        <w:t>richnessBps</w:t>
      </w:r>
      <w:r>
        <w:rPr>
          <w:color w:val="3A3A38"/>
          <w:sz w:val="20"/>
        </w:rPr>
        <w:t xml:space="preserve"> — joining the model's composed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against the independent benchmark series on </w:t>
      </w:r>
      <w:r>
        <w:rPr>
          <w:rFonts w:ascii="Consolas" w:hAnsi="Consolas"/>
          <w:color w:val="1C5CAB"/>
          <w:sz w:val="19"/>
        </w:rPr>
        <w:t>`time`sym</w:t>
      </w:r>
      <w:r>
        <w:rPr>
          <w:color w:val="3A3A38"/>
          <w:sz w:val="20"/>
        </w:rPr>
        <w:t xml:space="preserve"> via </w:t>
      </w:r>
      <w:r>
        <w:rPr>
          <w:rFonts w:ascii="Consolas" w:hAnsi="Consolas"/>
          <w:color w:val="1C5CAB"/>
          <w:sz w:val="19"/>
        </w:rPr>
        <w:t>.spread.vsReference</w:t>
      </w:r>
      <w:r>
        <w:rPr>
          <w:color w:val="3A3A38"/>
          <w:sz w:val="20"/>
        </w:rPr>
        <w:t xml:space="preserve"> and averaging the recovered </w:t>
      </w:r>
      <w:r>
        <w:rPr>
          <w:rFonts w:ascii="Consolas" w:hAnsi="Consolas"/>
          <w:color w:val="1C5CAB"/>
          <w:sz w:val="19"/>
        </w:rPr>
        <w:t>richnessBps</w:t>
      </w:r>
      <w:r>
        <w:rPr>
          <w:color w:val="3A3A38"/>
          <w:sz w:val="20"/>
        </w:rPr>
        <w:t xml:space="preserve"> recovers the injected 500-unit richness to within ~0.05%.</w:t>
      </w:r>
    </w:p>
    <w:p>
      <w:pPr>
        <w:spacing w:after="160"/>
      </w:pPr>
      <w:r>
        <w:rPr>
          <w:color w:val="3A3A38"/>
          <w:sz w:val="20"/>
        </w:rPr>
        <w:t xml:space="preserve">The aggression effect isn't covered by the automated check above, but the same recovery is directly visible in </w:t>
      </w:r>
      <w:r>
        <w:rPr>
          <w:rFonts w:ascii="Consolas" w:hAnsi="Consolas"/>
          <w:color w:val="1C5CAB"/>
          <w:sz w:val="19"/>
        </w:rPr>
        <w:t>.spread.byRegime</w:t>
      </w:r>
      <w:r>
        <w:rPr>
          <w:color w:val="3A3A38"/>
          <w:sz w:val="20"/>
        </w:rPr>
        <w:t xml:space="preserve">'s output — comparing </w:t>
      </w:r>
      <w:r>
        <w:rPr>
          <w:rFonts w:ascii="Consolas" w:hAnsi="Consolas"/>
          <w:color w:val="1C5CAB"/>
          <w:sz w:val="19"/>
        </w:rPr>
        <w:t>low</w:t>
      </w:r>
      <w:r>
        <w:rPr>
          <w:color w:val="3A3A38"/>
          <w:sz w:val="20"/>
        </w:rPr>
        <w:t xml:space="preserve"> against </w:t>
      </w:r>
      <w:r>
        <w:rPr>
          <w:rFonts w:ascii="Consolas" w:hAnsi="Consolas"/>
          <w:color w:val="1C5CAB"/>
          <w:sz w:val="19"/>
        </w:rPr>
        <w:t>high</w:t>
      </w:r>
      <w:r>
        <w:rPr>
          <w:color w:val="3A3A38"/>
          <w:sz w:val="20"/>
        </w:rPr>
        <w:t xml:space="preserve"> aggression </w:t>
      </w:r>
      <w:r>
        <w:rPr>
          <w:i/>
          <w:color w:val="3A3A38"/>
          <w:sz w:val="20"/>
        </w:rPr>
        <w:t>within the same</w:t>
      </w:r>
      <w:r>
        <w:rPr>
          <w:color w:val="3A3A38"/>
          <w:sz w:val="20"/>
        </w:rPr>
        <w:t xml:space="preserve"> </w:t>
      </w:r>
      <w:r>
        <w:rPr>
          <w:rFonts w:ascii="Consolas" w:hAnsi="Consolas"/>
          <w:color w:val="1C5CAB"/>
          <w:sz w:val="19"/>
        </w:rPr>
        <w:t>normal</w:t>
      </w:r>
      <w:r>
        <w:rPr>
          <w:color w:val="3A3A38"/>
          <w:sz w:val="20"/>
        </w:rPr>
        <w:t xml:space="preserve"> market status: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913632" cy="153619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byRegime-outpu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13632" cy="15361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byRegime aggression comparison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0.1438458 / 0.3585052 ≈ 0.401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0.05404622 / 0.1343631 ≈ 0.402</w:t>
      </w:r>
      <w:r>
        <w:rPr>
          <w:color w:val="3A3A38"/>
          <w:sz w:val="20"/>
        </w:rPr>
        <w:t xml:space="preserve"> — both independently converge on the injected </w:t>
      </w:r>
      <w:r>
        <w:rPr>
          <w:rFonts w:ascii="Consolas" w:hAnsi="Consolas"/>
          <w:color w:val="1C5CAB"/>
          <w:sz w:val="19"/>
        </w:rPr>
        <w:t>aggressionMult[`high]</w:t>
      </w:r>
      <w:r>
        <w:rPr>
          <w:color w:val="3A3A38"/>
          <w:sz w:val="20"/>
        </w:rPr>
        <w:t xml:space="preserve"> of 0.4, recovered from two unrelated components without being asked to agree.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570155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osi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015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Same quote, priced two ways</w:t>
      </w:r>
    </w:p>
    <w:p>
      <w:pPr>
        <w:spacing w:after="160"/>
      </w:pPr>
      <w:r>
        <w:rPr>
          <w:color w:val="3A3A38"/>
          <w:sz w:val="20"/>
        </w:rPr>
        <w:t xml:space="preserve">That chart deliberately compares two realistic composite scenarios rather than isolating a single variable — a calm, low-aggression quote against an aggressive quote issued into a stressed market — and the result worth noting is what the totals do: </w:t>
      </w:r>
      <w:r>
        <w:rPr>
          <w:b/>
          <w:color w:val="3A3A38"/>
          <w:sz w:val="20"/>
        </w:rPr>
        <w:t>1.55 vs. 1.53, effectively unchanged.</w:t>
      </w:r>
      <w:r>
        <w:rPr>
          <w:color w:val="3A3A38"/>
          <w:sz w:val="20"/>
        </w:rPr>
        <w:t xml:space="preserve"> The tighter base markup and client skew from aggressive pricing nearly cancel the wider volatility buffer from the stress regime. A dashboard reporting only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would flag these two quotes as practically identical; the decomposition shows they arrived there by two entirely different routes. That gap — same total, different composition — is the operational case for keeping the components addressable, rather than collapsing them to one number at write time.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89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gime_shif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riskSprd carries the regime shift</w:t>
      </w:r>
    </w:p>
    <w:p>
      <w:pPr>
        <w:spacing w:after="160"/>
      </w:pPr>
      <w:r>
        <w:rPr>
          <w:color w:val="3A3A38"/>
          <w:sz w:val="20"/>
        </w:rPr>
        <w:t xml:space="preserve">The second chart rolls the same session up by </w:t>
      </w:r>
      <w:r>
        <w:rPr>
          <w:rFonts w:ascii="Consolas" w:hAnsi="Consolas"/>
          <w:color w:val="1C5CAB"/>
          <w:sz w:val="19"/>
        </w:rPr>
        <w:t>.spread.byTime[quotes;`minute;`$()]</w:t>
      </w:r>
      <w:r>
        <w:rPr>
          <w:color w:val="3A3A38"/>
          <w:sz w:val="20"/>
        </w:rPr>
        <w:t xml:space="preserve"> instead of by regime tag — a fully independent aggregation path — and recovers the same signal: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jumps at the injected transition,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 follows it, and every other component stays flat. Two unrelated rollups agreeing on the same result is itself a form of validation, distinct from either rollup being correct in isolation.</w:t>
      </w:r>
    </w:p>
    <w:p>
      <w:pPr>
        <w:spacing w:before="280" w:after="120"/>
      </w:pPr>
      <w:r>
        <w:rPr>
          <w:b/>
          <w:color w:val="0B0B0B"/>
          <w:sz w:val="28"/>
        </w:rPr>
        <w:t>One more composition: share, not just level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answers "what's the average level of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" — a related but distinct question is "what </w:t>
      </w:r>
      <w:r>
        <w:rPr>
          <w:i/>
          <w:color w:val="3A3A38"/>
          <w:sz w:val="20"/>
        </w:rPr>
        <w:t>fraction</w:t>
      </w:r>
      <w:r>
        <w:rPr>
          <w:color w:val="3A3A38"/>
          <w:sz w:val="20"/>
        </w:rPr>
        <w:t xml:space="preserve"> of the spread is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responsible for, and does that change over the session." Level and share diverge whenever the other components are moving too, and a pricing review that only tracks level can miss a share shift entirely. Answering it required no new machinery: </w:t>
      </w:r>
      <w:r>
        <w:rPr>
          <w:rFonts w:ascii="Consolas" w:hAnsi="Consolas"/>
          <w:color w:val="1C5CAB"/>
          <w:sz w:val="19"/>
        </w:rPr>
        <w:t>.spread.decompose</w:t>
      </w:r>
      <w:r>
        <w:rPr>
          <w:color w:val="3A3A38"/>
          <w:sz w:val="20"/>
        </w:rPr>
        <w:t xml:space="preserve"> already melts a wide row into one row per component with a </w:t>
      </w:r>
      <w:r>
        <w:rPr>
          <w:rFonts w:ascii="Consolas" w:hAnsi="Consolas"/>
          <w:color w:val="1C5CAB"/>
          <w:sz w:val="19"/>
        </w:rPr>
        <w:t>pctOfTotal</w:t>
      </w:r>
      <w:r>
        <w:rPr>
          <w:color w:val="3A3A38"/>
          <w:sz w:val="20"/>
        </w:rPr>
        <w:t xml:space="preserve">, and </w:t>
      </w:r>
      <w:r>
        <w:rPr>
          <w:rFonts w:ascii="Consolas" w:hAnsi="Consolas"/>
          <w:color w:val="1C5CAB"/>
          <w:sz w:val="19"/>
        </w:rPr>
        <w:t>.spread.byTime</w:t>
      </w:r>
      <w:r>
        <w:rPr>
          <w:color w:val="3A3A38"/>
          <w:sz w:val="20"/>
        </w:rPr>
        <w:t xml:space="preserve">'s output is quote-shaped by construction (every component column plus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) — so decomposing a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result instead of raw quotes gives share-over-time as a direct consequence, not a separate feature: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854307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shareByTim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43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.spread.shareByTime</w:t>
      </w:r>
    </w:p>
    <w:p>
      <w:pPr>
        <w:spacing w:after="160"/>
      </w:pPr>
      <w:r>
        <w:rPr>
          <w:color w:val="3A3A38"/>
          <w:sz w:val="20"/>
        </w:rPr>
        <w:t xml:space="preserve">The order is not incidental.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has to run </w:t>
      </w:r>
      <w:r>
        <w:rPr>
          <w:i/>
          <w:color w:val="3A3A38"/>
          <w:sz w:val="20"/>
        </w:rPr>
        <w:t>first</w:t>
      </w:r>
      <w:r>
        <w:rPr>
          <w:color w:val="3A3A38"/>
          <w:sz w:val="20"/>
        </w:rPr>
        <w:t xml:space="preserve">: a component's share within a bucket is the ratio of its own weighted average to the bucket's weighted total — not an average of each quote's individual </w:t>
      </w:r>
      <w:r>
        <w:rPr>
          <w:rFonts w:ascii="Consolas" w:hAnsi="Consolas"/>
          <w:color w:val="1C5CAB"/>
          <w:sz w:val="19"/>
        </w:rPr>
        <w:t>pctOfTotal</w:t>
      </w:r>
      <w:r>
        <w:rPr>
          <w:color w:val="3A3A38"/>
          <w:sz w:val="20"/>
        </w:rPr>
        <w:t xml:space="preserve">, which produces the wrong answer as soon as weight varies within the bucket. In symbols, per bucket: </w:t>
      </w:r>
      <w:r>
        <w:rPr>
          <w:rFonts w:ascii="Consolas" w:hAnsi="Consolas"/>
          <w:color w:val="1C5CAB"/>
          <w:sz w:val="19"/>
        </w:rPr>
        <w:t>pctOfTotal</w:t>
      </w:r>
      <w:r>
        <w:rPr>
          <w:color w:val="3A3A38"/>
          <w:sz w:val="20"/>
        </w:rPr>
        <w:t xml:space="preserve"> = 100 × wavg(</w:t>
      </w:r>
      <w:r>
        <w:rPr>
          <w:rFonts w:ascii="Consolas" w:hAnsi="Consolas"/>
          <w:color w:val="1C5CAB"/>
          <w:sz w:val="19"/>
        </w:rPr>
        <w:t>component</w:t>
      </w:r>
      <w:r>
        <w:rPr>
          <w:color w:val="3A3A38"/>
          <w:sz w:val="20"/>
        </w:rPr>
        <w:t>) ÷ wavg(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), not the mean of each quote's own </w:t>
      </w:r>
      <w:r>
        <w:rPr>
          <w:rFonts w:ascii="Consolas" w:hAnsi="Consolas"/>
          <w:color w:val="1C5CAB"/>
          <w:sz w:val="19"/>
        </w:rPr>
        <w:t>componentValue</w:t>
      </w:r>
      <w:r>
        <w:rPr>
          <w:color w:val="3A3A38"/>
          <w:sz w:val="20"/>
        </w:rPr>
        <w:t xml:space="preserve"> ÷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. Sequenced this way, </w:t>
      </w:r>
      <w:r>
        <w:rPr>
          <w:rFonts w:ascii="Consolas" w:hAnsi="Consolas"/>
          <w:color w:val="1C5CAB"/>
          <w:sz w:val="19"/>
        </w:rPr>
        <w:t>pctOfTotal</w:t>
      </w:r>
      <w:r>
        <w:rPr>
          <w:color w:val="3A3A38"/>
          <w:sz w:val="20"/>
        </w:rPr>
        <w:t xml:space="preserve"> sums to exactly 100 within every bucket by construction — the same invariant </w:t>
      </w:r>
      <w:r>
        <w:rPr>
          <w:rFonts w:ascii="Consolas" w:hAnsi="Consolas"/>
          <w:color w:val="1C5CAB"/>
          <w:sz w:val="19"/>
        </w:rPr>
        <w:t>.spread.waterfall</w:t>
      </w:r>
      <w:r>
        <w:rPr>
          <w:color w:val="3A3A38"/>
          <w:sz w:val="20"/>
        </w:rPr>
        <w:t xml:space="preserve">'s </w:t>
      </w:r>
      <w:r>
        <w:rPr>
          <w:rFonts w:ascii="Consolas" w:hAnsi="Consolas"/>
          <w:color w:val="1C5CAB"/>
          <w:sz w:val="19"/>
        </w:rPr>
        <w:t>cum_signalSprd == totalSprd</w:t>
      </w:r>
      <w:r>
        <w:rPr>
          <w:color w:val="3A3A38"/>
          <w:sz w:val="20"/>
        </w:rPr>
        <w:t xml:space="preserve"> provides at the single-row level.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258931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ar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Same signal, viewed as a share instead of a level</w:t>
      </w:r>
    </w:p>
    <w:p>
      <w:pPr>
        <w:spacing w:after="160"/>
      </w:pPr>
      <w:r>
        <w:rPr>
          <w:color w:val="3A3A38"/>
          <w:sz w:val="20"/>
        </w:rPr>
        <w:t xml:space="preserve">Same session, same transition, same component — but the y-axis now reads "% of </w:t>
      </w:r>
      <w:r>
        <w:rPr>
          <w:rFonts w:ascii="Consolas" w:hAnsi="Consolas"/>
          <w:color w:val="1C5CAB"/>
          <w:sz w:val="19"/>
        </w:rPr>
        <w:t>totalSprd</w:t>
      </w:r>
      <w:r>
        <w:rPr>
          <w:color w:val="3A3A38"/>
          <w:sz w:val="20"/>
        </w:rPr>
        <w:t xml:space="preserve">" instead of price units.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 xml:space="preserve"> moves from ~6% of the quoted spread to ~21% at the stress transition. That framing serves a different reader than the level chart does: a pricing manager asking "is the vol buffer eroding my margin today" needs the share, not the raw number, and the two don't always move together — a component can hold a </w:t>
      </w:r>
      <w:r>
        <w:rPr>
          <w:i/>
          <w:color w:val="3A3A38"/>
          <w:sz w:val="20"/>
        </w:rPr>
        <w:t>constant</w:t>
      </w:r>
      <w:r>
        <w:rPr>
          <w:color w:val="3A3A38"/>
          <w:sz w:val="20"/>
        </w:rPr>
        <w:t xml:space="preserve"> share while the total moves, or the reverse.</w:t>
      </w:r>
    </w:p>
    <w:p>
      <w:pPr>
        <w:spacing w:after="160"/>
      </w:pPr>
      <w:r>
        <w:rPr>
          <w:color w:val="3A3A38"/>
          <w:sz w:val="20"/>
        </w:rPr>
        <w:t xml:space="preserve">Making </w:t>
      </w:r>
      <w:r>
        <w:rPr>
          <w:rFonts w:ascii="Consolas" w:hAnsi="Consolas"/>
          <w:color w:val="1C5CAB"/>
          <w:sz w:val="19"/>
        </w:rPr>
        <w:t>.spread.decompose</w:t>
      </w:r>
      <w:r>
        <w:rPr>
          <w:color w:val="3A3A38"/>
          <w:sz w:val="20"/>
        </w:rPr>
        <w:t xml:space="preserve"> unkey its input defensively (</w:t>
      </w:r>
      <w:r>
        <w:rPr>
          <w:rFonts w:ascii="Consolas" w:hAnsi="Consolas"/>
          <w:color w:val="1C5CAB"/>
          <w:sz w:val="19"/>
        </w:rPr>
        <w:t>0!</w:t>
      </w:r>
      <w:r>
        <w:rPr>
          <w:color w:val="3A3A38"/>
          <w:sz w:val="20"/>
        </w:rPr>
        <w:t xml:space="preserve"> before the column select) is what makes this composition possible at all.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's output is a keyed table — every </w:t>
      </w:r>
      <w:r>
        <w:rPr>
          <w:rFonts w:ascii="Consolas" w:hAnsi="Consolas"/>
          <w:color w:val="1C5CAB"/>
          <w:sz w:val="19"/>
        </w:rPr>
        <w:t>?[]</w:t>
      </w:r>
      <w:r>
        <w:rPr>
          <w:color w:val="3A3A38"/>
          <w:sz w:val="20"/>
        </w:rPr>
        <w:t xml:space="preserve"> group-by result is — and feeding a keyed table into code written against a plain one is exactly the kind of interface mismatch that looks fine in isolation and only surfaces once two functions are actually chained together.</w:t>
      </w:r>
    </w:p>
    <w:p>
      <w:pPr>
        <w:spacing w:before="280" w:after="120"/>
      </w:pPr>
      <w:r>
        <w:rPr>
          <w:b/>
          <w:color w:val="0B0B0B"/>
          <w:sz w:val="28"/>
        </w:rPr>
        <w:t>The mean can hide the tail</w:t>
      </w:r>
    </w:p>
    <w:p>
      <w:pPr>
        <w:spacing w:after="160"/>
      </w:pPr>
      <w:r>
        <w:rPr>
          <w:color w:val="3A3A38"/>
          <w:sz w:val="20"/>
        </w:rPr>
        <w:t xml:space="preserve">Every rollup so far — </w:t>
      </w:r>
      <w:r>
        <w:rPr>
          <w:rFonts w:ascii="Consolas" w:hAnsi="Consolas"/>
          <w:color w:val="1C5CAB"/>
          <w:sz w:val="19"/>
        </w:rPr>
        <w:t>wavgBy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byRegime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shareByTime</w:t>
      </w:r>
      <w:r>
        <w:rPr>
          <w:color w:val="3A3A38"/>
          <w:sz w:val="20"/>
        </w:rPr>
        <w:t xml:space="preserve"> — answers with a single weighted average, and an average can look stable while a meaningful part of the underlying distribution is not: three quotes at 1.30 and one at 4.00 average to 1.68, a figure that materially understates what happened on that fourth quote. The question a pricing or risk desk actually needs answered — "how bad does this get" — is a tail question, not a center-of-mass one, and a mean alone cannot answer it.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wavg</w:t>
      </w:r>
      <w:r>
        <w:rPr>
          <w:color w:val="3A3A38"/>
          <w:sz w:val="20"/>
        </w:rPr>
        <w:t xml:space="preserve"> is a q built-in; there's no equivalent built-in for a </w:t>
      </w:r>
      <w:r>
        <w:rPr>
          <w:i/>
          <w:color w:val="3A3A38"/>
          <w:sz w:val="20"/>
        </w:rPr>
        <w:t>weighted</w:t>
      </w:r>
      <w:r>
        <w:rPr>
          <w:color w:val="3A3A38"/>
          <w:sz w:val="20"/>
        </w:rPr>
        <w:t xml:space="preserve"> percentile, so </w:t>
      </w:r>
      <w:r>
        <w:rPr>
          <w:rFonts w:ascii="Consolas" w:hAnsi="Consolas"/>
          <w:color w:val="1C5CAB"/>
          <w:sz w:val="19"/>
        </w:rPr>
        <w:t>.spread.priv.wpctl</w:t>
      </w:r>
      <w:r>
        <w:rPr>
          <w:color w:val="3A3A38"/>
          <w:sz w:val="20"/>
        </w:rPr>
        <w:t xml:space="preserve"> implements the standard nearest-rank method — sort by value, walk cumulative weight in that order, and return the value at the point the cumulative weight fraction first reaches </w:t>
      </w:r>
      <w:r>
        <w:rPr>
          <w:rFonts w:ascii="Consolas" w:hAnsi="Consolas"/>
          <w:color w:val="1C5CAB"/>
          <w:sz w:val="19"/>
        </w:rPr>
        <w:t>p</w:t>
      </w:r>
      <w:r>
        <w:rPr>
          <w:color w:val="3A3A38"/>
          <w:sz w:val="20"/>
        </w:rPr>
        <w:t>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639568" cy="1932432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wpct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639568" cy="1932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.spread.priv.wpctl</w:t>
      </w:r>
    </w:p>
    <w:p>
      <w:pPr>
        <w:spacing w:after="160"/>
      </w:pPr>
      <w:r>
        <w:rPr>
          <w:color w:val="3A3A38"/>
          <w:sz w:val="20"/>
        </w:rPr>
        <w:t xml:space="preserve">In symbols: sort </w:t>
      </w:r>
      <w:r>
        <w:rPr>
          <w:rFonts w:ascii="Consolas" w:hAnsi="Consolas"/>
          <w:color w:val="1C5CAB"/>
          <w:sz w:val="19"/>
        </w:rPr>
        <w:t>x</w:t>
      </w:r>
      <w:r>
        <w:rPr>
          <w:color w:val="3A3A38"/>
          <w:sz w:val="20"/>
        </w:rPr>
        <w:t xml:space="preserve"> ascending to get order </w:t>
      </w:r>
      <w:r>
        <w:rPr>
          <w:i/>
          <w:color w:val="3A3A38"/>
          <w:sz w:val="20"/>
        </w:rPr>
        <w:t>x(1) ≤ x(2) ≤ ... ≤ x(n)</w:t>
      </w:r>
      <w:r>
        <w:rPr>
          <w:color w:val="3A3A38"/>
          <w:sz w:val="20"/>
        </w:rPr>
        <w:t xml:space="preserve">, define the cumulative weight fraction </w:t>
      </w:r>
      <w:r>
        <w:rPr>
          <w:i/>
          <w:color w:val="3A3A38"/>
          <w:sz w:val="20"/>
        </w:rPr>
        <w:t>CW(j)</w:t>
      </w:r>
      <w:r>
        <w:rPr>
          <w:color w:val="3A3A38"/>
          <w:sz w:val="20"/>
        </w:rPr>
        <w:t xml:space="preserve"> = (Σ </w:t>
      </w:r>
      <w:r>
        <w:rPr>
          <w:i/>
          <w:color w:val="3A3A38"/>
          <w:sz w:val="20"/>
        </w:rPr>
        <w:t>w(i)</w:t>
      </w:r>
      <w:r>
        <w:rPr>
          <w:color w:val="3A3A38"/>
          <w:sz w:val="20"/>
        </w:rPr>
        <w:t xml:space="preserve"> for </w:t>
      </w:r>
      <w:r>
        <w:rPr>
          <w:i/>
          <w:color w:val="3A3A38"/>
          <w:sz w:val="20"/>
        </w:rPr>
        <w:t>i ≤ j</w:t>
      </w:r>
      <w:r>
        <w:rPr>
          <w:color w:val="3A3A38"/>
          <w:sz w:val="20"/>
        </w:rPr>
        <w:t>) ÷ Σ</w:t>
      </w:r>
      <w:r>
        <w:rPr>
          <w:i/>
          <w:color w:val="3A3A38"/>
          <w:sz w:val="20"/>
        </w:rPr>
        <w:t>w</w:t>
      </w:r>
      <w:r>
        <w:rPr>
          <w:color w:val="3A3A38"/>
          <w:sz w:val="20"/>
        </w:rPr>
        <w:t xml:space="preserve">, and return </w:t>
      </w:r>
      <w:r>
        <w:rPr>
          <w:i/>
          <w:color w:val="3A3A38"/>
          <w:sz w:val="20"/>
        </w:rPr>
        <w:t>x(j)</w:t>
      </w:r>
      <w:r>
        <w:rPr>
          <w:color w:val="3A3A38"/>
          <w:sz w:val="20"/>
        </w:rPr>
        <w:t xml:space="preserve"> for the smallest </w:t>
      </w:r>
      <w:r>
        <w:rPr>
          <w:i/>
          <w:color w:val="3A3A38"/>
          <w:sz w:val="20"/>
        </w:rPr>
        <w:t>j</w:t>
      </w:r>
      <w:r>
        <w:rPr>
          <w:color w:val="3A3A38"/>
          <w:sz w:val="20"/>
        </w:rPr>
        <w:t xml:space="preserve"> where </w:t>
      </w:r>
      <w:r>
        <w:rPr>
          <w:i/>
          <w:color w:val="3A3A38"/>
          <w:sz w:val="20"/>
        </w:rPr>
        <w:t>CW(j) ≥ p</w:t>
      </w:r>
      <w:r>
        <w:rPr>
          <w:color w:val="3A3A38"/>
          <w:sz w:val="20"/>
        </w:rPr>
        <w:t>.</w:t>
      </w:r>
    </w:p>
    <w:p>
      <w:pPr>
        <w:spacing w:after="160"/>
      </w:pPr>
      <w:r>
        <w:rPr>
          <w:color w:val="3A3A38"/>
          <w:sz w:val="20"/>
        </w:rPr>
        <w:t xml:space="preserve">Nearest-rank rather than interpolated is a deliberate choice: the value returned is always an actual observed quote, consistent with how a "worst 1% of the time" figure is conventionally read in a risk context, rather than a smoothed statistical estimate that no single quote ever produced. Because </w:t>
      </w:r>
      <w:r>
        <w:rPr>
          <w:rFonts w:ascii="Consolas" w:hAnsi="Consolas"/>
          <w:color w:val="1C5CAB"/>
          <w:sz w:val="19"/>
        </w:rPr>
        <w:t>wpctl</w:t>
      </w:r>
      <w:r>
        <w:rPr>
          <w:color w:val="3A3A38"/>
          <w:sz w:val="20"/>
        </w:rPr>
        <w:t xml:space="preserve"> takes the same </w:t>
      </w:r>
      <w:r>
        <w:rPr>
          <w:rFonts w:ascii="Consolas" w:hAnsi="Consolas"/>
          <w:color w:val="1C5CAB"/>
          <w:sz w:val="19"/>
        </w:rPr>
        <w:t>(weight, value) -&gt; number</w:t>
      </w:r>
      <w:r>
        <w:rPr>
          <w:color w:val="3A3A38"/>
          <w:sz w:val="20"/>
        </w:rPr>
        <w:t xml:space="preserve"> shape </w:t>
      </w:r>
      <w:r>
        <w:rPr>
          <w:rFonts w:ascii="Consolas" w:hAnsi="Consolas"/>
          <w:color w:val="1C5CAB"/>
          <w:sz w:val="19"/>
        </w:rPr>
        <w:t>wavg</w:t>
      </w:r>
      <w:r>
        <w:rPr>
          <w:color w:val="3A3A38"/>
          <w:sz w:val="20"/>
        </w:rPr>
        <w:t xml:space="preserve"> does, it drops directly into the same aggregate-spec pattern </w:t>
      </w:r>
      <w:r>
        <w:rPr>
          <w:rFonts w:ascii="Consolas" w:hAnsi="Consolas"/>
          <w:color w:val="1C5CAB"/>
          <w:sz w:val="19"/>
        </w:rPr>
        <w:t>.spread.priv.wavgAggCols</w:t>
      </w:r>
      <w:r>
        <w:rPr>
          <w:color w:val="3A3A38"/>
          <w:sz w:val="20"/>
        </w:rPr>
        <w:t xml:space="preserve"> already established — </w:t>
      </w:r>
      <w:r>
        <w:rPr>
          <w:rFonts w:ascii="Consolas" w:hAnsi="Consolas"/>
          <w:color w:val="1C5CAB"/>
          <w:sz w:val="19"/>
        </w:rPr>
        <w:t>.spread.priv.pctlAggCols</w:t>
      </w:r>
      <w:r>
        <w:rPr>
          <w:color w:val="3A3A38"/>
          <w:sz w:val="20"/>
        </w:rPr>
        <w:t xml:space="preserve"> is that function's percentile counterpart, and </w:t>
      </w:r>
      <w:r>
        <w:rPr>
          <w:rFonts w:ascii="Consolas" w:hAnsi="Consolas"/>
          <w:color w:val="1C5CAB"/>
          <w:sz w:val="19"/>
        </w:rPr>
        <w:t>.spread.pctlBy</w:t>
      </w:r>
      <w:r>
        <w:rPr>
          <w:color w:val="3A3A38"/>
          <w:sz w:val="20"/>
        </w:rPr>
        <w:t>/</w:t>
      </w:r>
      <w:r>
        <w:rPr>
          <w:rFonts w:ascii="Consolas" w:hAnsi="Consolas"/>
          <w:color w:val="1C5CAB"/>
          <w:sz w:val="19"/>
        </w:rPr>
        <w:t>.spread.pctlByTime</w:t>
      </w:r>
      <w:r>
        <w:rPr>
          <w:color w:val="3A3A38"/>
          <w:sz w:val="20"/>
        </w:rPr>
        <w:t xml:space="preserve"> are </w:t>
      </w:r>
      <w:r>
        <w:rPr>
          <w:rFonts w:ascii="Consolas" w:hAnsi="Consolas"/>
          <w:color w:val="1C5CAB"/>
          <w:sz w:val="19"/>
        </w:rPr>
        <w:t>wavgBy</w:t>
      </w:r>
      <w:r>
        <w:rPr>
          <w:color w:val="3A3A38"/>
          <w:sz w:val="20"/>
        </w:rPr>
        <w:t>/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with it substituted in: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611738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pctlByTim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1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.spread.pctlByTime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45546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ctl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5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The whole distribution shifts together, not just the tail</w:t>
      </w:r>
    </w:p>
    <w:p>
      <w:pPr>
        <w:spacing w:after="160"/>
      </w:pPr>
      <w:r>
        <w:rPr>
          <w:color w:val="3A3A38"/>
          <w:sz w:val="20"/>
        </w:rPr>
        <w:t xml:space="preserve">Run against the same synthetic session as every other chart in this piece, </w:t>
      </w:r>
      <w:r>
        <w:rPr>
          <w:rFonts w:ascii="Consolas" w:hAnsi="Consolas"/>
          <w:color w:val="1C5CAB"/>
          <w:sz w:val="19"/>
        </w:rPr>
        <w:t>p50</w:t>
      </w:r>
      <w:r>
        <w:rPr>
          <w:color w:val="3A3A38"/>
          <w:sz w:val="20"/>
        </w:rPr>
        <w:t>/</w:t>
      </w:r>
      <w:r>
        <w:rPr>
          <w:rFonts w:ascii="Consolas" w:hAnsi="Consolas"/>
          <w:color w:val="1C5CAB"/>
          <w:sz w:val="19"/>
        </w:rPr>
        <w:t>p90</w:t>
      </w:r>
      <w:r>
        <w:rPr>
          <w:color w:val="3A3A38"/>
          <w:sz w:val="20"/>
        </w:rPr>
        <w:t>/</w:t>
      </w:r>
      <w:r>
        <w:rPr>
          <w:rFonts w:ascii="Consolas" w:hAnsi="Consolas"/>
          <w:color w:val="1C5CAB"/>
          <w:sz w:val="19"/>
        </w:rPr>
        <w:t>p99</w:t>
      </w:r>
      <w:r>
        <w:rPr>
          <w:color w:val="3A3A38"/>
          <w:sz w:val="20"/>
        </w:rPr>
        <w:t xml:space="preserve"> all move at the stress transition together with the mean — the gap between them doesn't widen the way it would if the stress were a tail-specific event (an occasional very-wide quote pulling </w:t>
      </w:r>
      <w:r>
        <w:rPr>
          <w:rFonts w:ascii="Consolas" w:hAnsi="Consolas"/>
          <w:color w:val="1C5CAB"/>
          <w:sz w:val="19"/>
        </w:rPr>
        <w:t>p99</w:t>
      </w:r>
      <w:r>
        <w:rPr>
          <w:color w:val="3A3A38"/>
          <w:sz w:val="20"/>
        </w:rPr>
        <w:t xml:space="preserve"> up while </w:t>
      </w:r>
      <w:r>
        <w:rPr>
          <w:rFonts w:ascii="Consolas" w:hAnsi="Consolas"/>
          <w:color w:val="1C5CAB"/>
          <w:sz w:val="19"/>
        </w:rPr>
        <w:t>p50</w:t>
      </w:r>
      <w:r>
        <w:rPr>
          <w:color w:val="3A3A38"/>
          <w:sz w:val="20"/>
        </w:rPr>
        <w:t xml:space="preserve"> held steady). That's not an inconclusive result: it </w:t>
      </w:r>
      <w:r>
        <w:rPr>
          <w:i/>
          <w:color w:val="3A3A38"/>
          <w:sz w:val="20"/>
        </w:rPr>
        <w:t>confirms</w:t>
      </w:r>
      <w:r>
        <w:rPr>
          <w:color w:val="3A3A38"/>
          <w:sz w:val="20"/>
        </w:rPr>
        <w:t xml:space="preserve"> that the injected stress here is a uniform level-shift affecting every quote equally, exactly matching how </w:t>
      </w:r>
      <w:r>
        <w:rPr>
          <w:rFonts w:ascii="Consolas" w:hAnsi="Consolas"/>
          <w:color w:val="1C5CAB"/>
          <w:sz w:val="19"/>
        </w:rPr>
        <w:t>data/spreadGenerator.q</w:t>
      </w:r>
      <w:r>
        <w:rPr>
          <w:color w:val="3A3A38"/>
          <w:sz w:val="20"/>
        </w:rPr>
        <w:t xml:space="preserve"> constructed it — </w:t>
      </w:r>
      <w:r>
        <w:rPr>
          <w:rFonts w:ascii="Consolas" w:hAnsi="Consolas"/>
          <w:color w:val="1C5CAB"/>
          <w:sz w:val="19"/>
        </w:rPr>
        <w:t>riskSprd</w:t>
      </w:r>
      <w:r>
        <w:rPr>
          <w:color w:val="3A3A38"/>
          <w:sz w:val="20"/>
        </w:rPr>
        <w:t>'s multiplier applies to every stressed quote, not to a random subset. Distinguishing these two cases is precisely what percentile analysis is for; this session lands on the "uniform shift" side, and knowing that with certainty is worth more than assuming it from the mean alone.</w:t>
      </w:r>
    </w:p>
    <w:p>
      <w:pPr>
        <w:spacing w:after="160"/>
      </w:pPr>
      <w:r>
        <w:rPr>
          <w:color w:val="3A3A38"/>
          <w:sz w:val="20"/>
        </w:rPr>
        <w:t xml:space="preserve">Sorting isn't free: </w:t>
      </w:r>
      <w:r>
        <w:rPr>
          <w:rFonts w:ascii="Consolas" w:hAnsi="Consolas"/>
          <w:color w:val="1C5CAB"/>
          <w:sz w:val="19"/>
        </w:rPr>
        <w:t>perf/perfSpread.q</w:t>
      </w:r>
      <w:r>
        <w:rPr>
          <w:color w:val="3A3A38"/>
          <w:sz w:val="20"/>
        </w:rPr>
        <w:t xml:space="preserve"> shows </w:t>
      </w:r>
      <w:r>
        <w:rPr>
          <w:rFonts w:ascii="Consolas" w:hAnsi="Consolas"/>
          <w:color w:val="1C5CAB"/>
          <w:sz w:val="19"/>
        </w:rPr>
        <w:t>pctlByTime</w:t>
      </w:r>
      <w:r>
        <w:rPr>
          <w:color w:val="3A3A38"/>
          <w:sz w:val="20"/>
        </w:rPr>
        <w:t xml:space="preserve"> at roughly 3.4x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>'s cost (a full sort per bucket vs. one weighted sum) — the one rollup in this library where trading the mean for the distribution has a measurable, quantified price rather than a theoretical one.</w:t>
      </w:r>
    </w:p>
    <w:p>
      <w:pPr>
        <w:spacing w:before="280" w:after="120"/>
      </w:pPr>
      <w:r>
        <w:rPr>
          <w:b/>
          <w:color w:val="0B0B0B"/>
          <w:sz w:val="28"/>
        </w:rPr>
        <w:t>Reconciliation vs. an outside reference</w:t>
      </w:r>
    </w:p>
    <w:p>
      <w:pPr>
        <w:spacing w:after="160"/>
      </w:pPr>
      <w:r>
        <w:rPr>
          <w:rFonts w:ascii="Consolas" w:hAnsi="Consolas"/>
          <w:color w:val="1C5CAB"/>
          <w:sz w:val="19"/>
        </w:rPr>
        <w:t>.spread.vsReference</w:t>
      </w:r>
      <w:r>
        <w:rPr>
          <w:color w:val="3A3A38"/>
          <w:sz w:val="20"/>
        </w:rPr>
        <w:t xml:space="preserve"> joins the model's composed total against any independently sourced spread series and reports richness in both bps and pct: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1806249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vsRefer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6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.spread.vsReference</w:t>
      </w:r>
    </w:p>
    <w:p>
      <w:pPr>
        <w:spacing w:after="160"/>
      </w:pPr>
      <w:r>
        <w:rPr>
          <w:color w:val="3A3A38"/>
          <w:sz w:val="20"/>
        </w:rPr>
        <w:t xml:space="preserve">In symbols: </w:t>
      </w:r>
      <w:r>
        <w:rPr>
          <w:rFonts w:ascii="Consolas" w:hAnsi="Consolas"/>
          <w:color w:val="1C5CAB"/>
          <w:sz w:val="19"/>
        </w:rPr>
        <w:t>richnessBps</w:t>
      </w:r>
      <w:r>
        <w:rPr>
          <w:color w:val="3A3A38"/>
          <w:sz w:val="20"/>
        </w:rPr>
        <w:t xml:space="preserve"> = 1e4 × (</w:t>
      </w:r>
      <w:r>
        <w:rPr>
          <w:rFonts w:ascii="Consolas" w:hAnsi="Consolas"/>
          <w:color w:val="1C5CAB"/>
          <w:sz w:val="19"/>
        </w:rPr>
        <w:t>modelSprd</w:t>
      </w:r>
      <w:r>
        <w:rPr>
          <w:color w:val="3A3A38"/>
          <w:sz w:val="20"/>
        </w:rPr>
        <w:t xml:space="preserve"> − </w:t>
      </w:r>
      <w:r>
        <w:rPr>
          <w:rFonts w:ascii="Consolas" w:hAnsi="Consolas"/>
          <w:color w:val="1C5CAB"/>
          <w:sz w:val="19"/>
        </w:rPr>
        <w:t>benchSprd</w:t>
      </w:r>
      <w:r>
        <w:rPr>
          <w:color w:val="3A3A38"/>
          <w:sz w:val="20"/>
        </w:rPr>
        <w:t xml:space="preserve">), and </w:t>
      </w:r>
      <w:r>
        <w:rPr>
          <w:rFonts w:ascii="Consolas" w:hAnsi="Consolas"/>
          <w:color w:val="1C5CAB"/>
          <w:sz w:val="19"/>
        </w:rPr>
        <w:t>richnessPct</w:t>
      </w:r>
      <w:r>
        <w:rPr>
          <w:color w:val="3A3A38"/>
          <w:sz w:val="20"/>
        </w:rPr>
        <w:t xml:space="preserve"> = 100 × (</w:t>
      </w:r>
      <w:r>
        <w:rPr>
          <w:rFonts w:ascii="Consolas" w:hAnsi="Consolas"/>
          <w:color w:val="1C5CAB"/>
          <w:sz w:val="19"/>
        </w:rPr>
        <w:t>modelSprd</w:t>
      </w:r>
      <w:r>
        <w:rPr>
          <w:color w:val="3A3A38"/>
          <w:sz w:val="20"/>
        </w:rPr>
        <w:t xml:space="preserve"> − </w:t>
      </w:r>
      <w:r>
        <w:rPr>
          <w:rFonts w:ascii="Consolas" w:hAnsi="Consolas"/>
          <w:color w:val="1C5CAB"/>
          <w:sz w:val="19"/>
        </w:rPr>
        <w:t>benchSprd</w:t>
      </w:r>
      <w:r>
        <w:rPr>
          <w:color w:val="3A3A38"/>
          <w:sz w:val="20"/>
        </w:rPr>
        <w:t xml:space="preserve">) ÷ </w:t>
      </w:r>
      <w:r>
        <w:rPr>
          <w:rFonts w:ascii="Consolas" w:hAnsi="Consolas"/>
          <w:color w:val="1C5CAB"/>
          <w:sz w:val="19"/>
        </w:rPr>
        <w:t>benchSprd</w:t>
      </w:r>
      <w:r>
        <w:rPr>
          <w:color w:val="3A3A38"/>
          <w:sz w:val="20"/>
        </w:rPr>
        <w:t>.</w:t>
      </w:r>
    </w:p>
    <w:p>
      <w:pPr>
        <w:spacing w:after="160"/>
      </w:pPr>
      <w:r>
        <w:rPr>
          <w:color w:val="3A3A38"/>
          <w:sz w:val="20"/>
        </w:rPr>
        <w:t xml:space="preserve">The immediate use case is a pricing-desk sanity check — is what's being quoted consistent with a competitor feed, a prior model version, or an internal benchmark rate — but the function makes no assumption about what </w:t>
      </w:r>
      <w:r>
        <w:rPr>
          <w:rFonts w:ascii="Consolas" w:hAnsi="Consolas"/>
          <w:color w:val="1C5CAB"/>
          <w:sz w:val="19"/>
        </w:rPr>
        <w:t>refTab</w:t>
      </w:r>
      <w:r>
        <w:rPr>
          <w:color w:val="3A3A38"/>
          <w:sz w:val="20"/>
        </w:rPr>
        <w:t xml:space="preserve"> actually is. Any two independently produced spread series, reconciled on shared keys, fit the same shape: a required check, not a bespoke one built per comparison.</w:t>
      </w:r>
    </w:p>
    <w:p>
      <w:pPr>
        <w:spacing w:before="280" w:after="120"/>
      </w:pPr>
      <w:r>
        <w:rPr>
          <w:b/>
          <w:color w:val="0B0B0B"/>
          <w:sz w:val="28"/>
        </w:rPr>
        <w:t>Conclusions</w:t>
      </w:r>
    </w:p>
    <w:p>
      <w:pPr>
        <w:spacing w:after="160"/>
      </w:pPr>
      <w:r>
        <w:rPr>
          <w:color w:val="3A3A38"/>
          <w:sz w:val="20"/>
        </w:rPr>
        <w:t>Spread decomposition and market impact sit under the same broad heading — pricing and post-trade analytics — while being close to opposite problems in shape. Market impact starts from one noisy observable (price after the fact) and has to recover a hidden temporary/permanent structure from it, which is why that analysis required a parametric fit and a goodness-of-fit statistic before its recovery could be trusted. Spread decomposition starts from the opposite position: the structure is already given, every component is a column the pricing engine already computed, and there is nothing left to estimate. The entire engineering problem is downstream of that — aggregating an additive decomposition without corrupting the weighting regardless of which dimension it's sliced by, and validating the result against something the model itself did not produce.</w:t>
      </w:r>
    </w:p>
    <w:p>
      <w:pPr>
        <w:spacing w:after="160"/>
      </w:pPr>
      <w:r>
        <w:rPr>
          <w:color w:val="3A3A38"/>
          <w:sz w:val="20"/>
        </w:rPr>
        <w:t>Both pieces are held to the same standard for knowing the code is correct rather than merely plausible: construct a synthetic scenario with a known answer built in, and require the functions to reproduce that specific number — not something in the right ballpark.</w:t>
      </w:r>
    </w:p>
    <w:p>
      <w:pPr>
        <w:spacing w:before="280" w:after="120"/>
      </w:pPr>
      <w:r>
        <w:rPr>
          <w:b/>
          <w:color w:val="0B0B0B"/>
          <w:sz w:val="28"/>
        </w:rPr>
        <w:t>Appendix: performance</w:t>
      </w:r>
    </w:p>
    <w:p>
      <w:pPr>
        <w:spacing w:after="160"/>
      </w:pPr>
      <w:r>
        <w:rPr>
          <w:color w:val="3A3A38"/>
          <w:sz w:val="20"/>
        </w:rPr>
        <w:t xml:space="preserve">Correctness established, the remaining question is cost: what this decomposition- and-aggregation pipeline actually takes to run at production-representative volumes. </w:t>
      </w:r>
      <w:r>
        <w:rPr>
          <w:rFonts w:ascii="Consolas" w:hAnsi="Consolas"/>
          <w:color w:val="1C5CAB"/>
          <w:sz w:val="19"/>
        </w:rPr>
        <w:t>perf/perfChk.q</w:t>
      </w:r>
      <w:r>
        <w:rPr>
          <w:color w:val="3A3A38"/>
          <w:sz w:val="20"/>
        </w:rPr>
        <w:t xml:space="preserve"> is a shared, functions-only timing harness; per-article runners load it and time every public function in their own analytics file against realistic-sized synthetic data, via kdb+'s built-in </w:t>
      </w:r>
      <w:r>
        <w:rPr>
          <w:rFonts w:ascii="Consolas" w:hAnsi="Consolas"/>
          <w:color w:val="1C5CAB"/>
          <w:sz w:val="19"/>
        </w:rPr>
        <w:t>\ts</w:t>
      </w:r>
      <w:r>
        <w:rPr>
          <w:color w:val="3A3A38"/>
          <w:sz w:val="20"/>
        </w:rPr>
        <w:t xml:space="preserve"> time+space profiler (invoked programmatically as </w:t>
      </w:r>
      <w:r>
        <w:rPr>
          <w:rFonts w:ascii="Consolas" w:hAnsi="Consolas"/>
          <w:color w:val="1C5CAB"/>
          <w:sz w:val="19"/>
        </w:rPr>
        <w:t>system"ts do[n;expr]"</w:t>
      </w:r>
      <w:r>
        <w:rPr>
          <w:color w:val="3A3A38"/>
          <w:sz w:val="20"/>
        </w:rPr>
        <w:t xml:space="preserve">, so the (ms;bytes) pair is captured and averaged over </w:t>
      </w:r>
      <w:r>
        <w:rPr>
          <w:rFonts w:ascii="Consolas" w:hAnsi="Consolas"/>
          <w:color w:val="1C5CAB"/>
          <w:sz w:val="19"/>
        </w:rPr>
        <w:t>n</w:t>
      </w:r>
      <w:r>
        <w:rPr>
          <w:color w:val="3A3A38"/>
          <w:sz w:val="20"/>
        </w:rPr>
        <w:t xml:space="preserve"> reps rather than merely printed to console). The table below covers the </w:t>
      </w:r>
      <w:r>
        <w:rPr>
          <w:rFonts w:ascii="Consolas" w:hAnsi="Consolas"/>
          <w:color w:val="1C5CAB"/>
          <w:sz w:val="19"/>
        </w:rPr>
        <w:t>.util.*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.spread.*</w:t>
      </w:r>
      <w:r>
        <w:rPr>
          <w:color w:val="3A3A38"/>
          <w:sz w:val="20"/>
        </w:rPr>
        <w:t xml:space="preserve"> subset — the shared offset-grid helpers plus every function discussed in this piece — run at 5x the session size used above: a 216,000-row rate series, 10,000 trades, 25 orders, and 30,000 quotes.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19472" cy="134112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run-per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19472" cy="1341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perf runner commands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4548602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erf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86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Every .util.* and .spread.* function, timed at 5x scale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352800" cy="5986272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_perf-tab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9862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color w:val="6B6A66"/>
          <w:sz w:val="17"/>
        </w:rPr>
        <w:t>Performance results table</w:t>
      </w:r>
    </w:p>
    <w:p>
      <w:pPr>
        <w:spacing w:after="160"/>
      </w:pPr>
      <w:r>
        <w:rPr>
          <w:color w:val="3A3A38"/>
          <w:sz w:val="20"/>
        </w:rPr>
        <w:t>A few things stand out. The pure grid/dict helpers (</w:t>
      </w:r>
      <w:r>
        <w:rPr>
          <w:rFonts w:ascii="Consolas" w:hAnsi="Consolas"/>
          <w:color w:val="1C5CAB"/>
          <w:sz w:val="19"/>
        </w:rPr>
        <w:t>buildGrid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toTimespan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priv.wavgAggCols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util.timeBucket</w:t>
      </w:r>
      <w:r>
        <w:rPr>
          <w:color w:val="3A3A38"/>
          <w:sz w:val="20"/>
        </w:rPr>
        <w:t xml:space="preserve">) are all sub-microsecond to low-microsecond — they build small, fixed-size structures and never touch the quote table. </w:t>
      </w:r>
      <w:r>
        <w:rPr>
          <w:rFonts w:ascii="Consolas" w:hAnsi="Consolas"/>
          <w:color w:val="1C5CAB"/>
          <w:sz w:val="19"/>
        </w:rPr>
        <w:t>.spread.compose</w:t>
      </w:r>
      <w:r>
        <w:rPr>
          <w:color w:val="3A3A38"/>
          <w:sz w:val="20"/>
        </w:rPr>
        <w:t xml:space="preserve"> is close to free (0.05ms for 30,000 rows), being a single row-wise sum; </w:t>
      </w:r>
      <w:r>
        <w:rPr>
          <w:rFonts w:ascii="Consolas" w:hAnsi="Consolas"/>
          <w:color w:val="1C5CAB"/>
          <w:sz w:val="19"/>
        </w:rPr>
        <w:t>decompose</w:t>
      </w:r>
      <w:r>
        <w:rPr>
          <w:color w:val="3A3A38"/>
          <w:sz w:val="20"/>
        </w:rPr>
        <w:t xml:space="preserve"> and </w:t>
      </w:r>
      <w:r>
        <w:rPr>
          <w:rFonts w:ascii="Consolas" w:hAnsi="Consolas"/>
          <w:color w:val="1C5CAB"/>
          <w:sz w:val="19"/>
        </w:rPr>
        <w:t>waterfall</w:t>
      </w:r>
      <w:r>
        <w:rPr>
          <w:color w:val="3A3A38"/>
          <w:sz w:val="20"/>
        </w:rPr>
        <w:t xml:space="preserve"> cost more (1.5–4ms) because each builds several full-sized intermediate tables — one per component, or one cumulative column per component — rather than a single pass. The aggregations (</w:t>
      </w:r>
      <w:r>
        <w:rPr>
          <w:rFonts w:ascii="Consolas" w:hAnsi="Consolas"/>
          <w:color w:val="1C5CAB"/>
          <w:sz w:val="19"/>
        </w:rPr>
        <w:t>wavgBy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byRegime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) stay under 2ms even while grouping and weight-averaging all 30,000 rows;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is the most expensive of the three because its time-bucket key produces more distinct groups than a coarse regime tag does. </w:t>
      </w:r>
      <w:r>
        <w:rPr>
          <w:rFonts w:ascii="Consolas" w:hAnsi="Consolas"/>
          <w:color w:val="1C5CAB"/>
          <w:sz w:val="19"/>
        </w:rPr>
        <w:t>shareByTime</w:t>
      </w:r>
      <w:r>
        <w:rPr>
          <w:color w:val="3A3A38"/>
          <w:sz w:val="20"/>
        </w:rPr>
        <w:t xml:space="preserve"> costs almost exactly what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 alone does (1.9ms vs. 1.98ms), since </w:t>
      </w:r>
      <w:r>
        <w:rPr>
          <w:rFonts w:ascii="Consolas" w:hAnsi="Consolas"/>
          <w:color w:val="1C5CAB"/>
          <w:sz w:val="19"/>
        </w:rPr>
        <w:t>decompose</w:t>
      </w:r>
      <w:r>
        <w:rPr>
          <w:color w:val="3A3A38"/>
          <w:sz w:val="20"/>
        </w:rPr>
        <w:t xml:space="preserve"> only runs against the small, already-aggregated bucket table it produces rather than the original 30,000 rows — melting it into shares is close to free on top. The percentile rollups are the clear outliers: </w:t>
      </w:r>
      <w:r>
        <w:rPr>
          <w:rFonts w:ascii="Consolas" w:hAnsi="Consolas"/>
          <w:color w:val="1C5CAB"/>
          <w:sz w:val="19"/>
        </w:rPr>
        <w:t>pctlBy</w:t>
      </w:r>
      <w:r>
        <w:rPr>
          <w:color w:val="3A3A38"/>
          <w:sz w:val="20"/>
        </w:rPr>
        <w:t xml:space="preserve"> costs roughly 3.8x </w:t>
      </w:r>
      <w:r>
        <w:rPr>
          <w:rFonts w:ascii="Consolas" w:hAnsi="Consolas"/>
          <w:color w:val="1C5CAB"/>
          <w:sz w:val="19"/>
        </w:rPr>
        <w:t>wavgBy</w:t>
      </w:r>
      <w:r>
        <w:rPr>
          <w:color w:val="3A3A38"/>
          <w:sz w:val="20"/>
        </w:rPr>
        <w:t xml:space="preserve">'s (1.81ms vs. 0.53ms), and </w:t>
      </w:r>
      <w:r>
        <w:rPr>
          <w:rFonts w:ascii="Consolas" w:hAnsi="Consolas"/>
          <w:color w:val="1C5CAB"/>
          <w:sz w:val="19"/>
        </w:rPr>
        <w:t>pctlByTime</w:t>
      </w:r>
      <w:r>
        <w:rPr>
          <w:color w:val="3A3A38"/>
          <w:sz w:val="20"/>
        </w:rPr>
        <w:t xml:space="preserve"> costs roughly 3.4x </w:t>
      </w:r>
      <w:r>
        <w:rPr>
          <w:rFonts w:ascii="Consolas" w:hAnsi="Consolas"/>
          <w:color w:val="1C5CAB"/>
          <w:sz w:val="19"/>
        </w:rPr>
        <w:t>byTime</w:t>
      </w:r>
      <w:r>
        <w:rPr>
          <w:color w:val="3A3A38"/>
          <w:sz w:val="20"/>
        </w:rPr>
        <w:t xml:space="preserve">'s (6.84ms vs. 2.02ms) — the one place in this library where a full sort per group, rather than a running sum, materially shows up in the numbers. </w:t>
      </w:r>
      <w:r>
        <w:rPr>
          <w:rFonts w:ascii="Consolas" w:hAnsi="Consolas"/>
          <w:color w:val="1C5CAB"/>
          <w:sz w:val="19"/>
        </w:rPr>
        <w:t>.spread.onQuote</w:t>
      </w:r>
      <w:r>
        <w:rPr>
          <w:color w:val="3A3A38"/>
          <w:sz w:val="20"/>
        </w:rPr>
        <w:t xml:space="preserve"> (the real-time path) is flat at 0.004ms regardless of session size, as required — it upserts one row into a table keyed by a small, bounded (sym, aggression, marketStatus) key space, never touching the historical quote volume.</w:t>
      </w:r>
    </w:p>
    <w:p>
      <w:pPr>
        <w:spacing w:after="160"/>
      </w:pPr>
      <w:r>
        <w:rPr>
          <w:color w:val="3A3A38"/>
          <w:sz w:val="20"/>
        </w:rPr>
        <w:t xml:space="preserve">The two </w:t>
      </w:r>
      <w:r>
        <w:rPr>
          <w:rFonts w:ascii="Consolas" w:hAnsi="Consolas"/>
          <w:color w:val="1C5CAB"/>
          <w:sz w:val="19"/>
        </w:rPr>
        <w:t>&lt;0.001</w:t>
      </w:r>
      <w:r>
        <w:rPr>
          <w:color w:val="3A3A38"/>
          <w:sz w:val="20"/>
        </w:rPr>
        <w:t xml:space="preserve"> rows (</w:t>
      </w:r>
      <w:r>
        <w:rPr>
          <w:rFonts w:ascii="Consolas" w:hAnsi="Consolas"/>
          <w:color w:val="1C5CAB"/>
          <w:sz w:val="19"/>
        </w:rPr>
        <w:t>toTimespan</w:t>
      </w:r>
      <w:r>
        <w:rPr>
          <w:color w:val="3A3A38"/>
          <w:sz w:val="20"/>
        </w:rPr>
        <w:t xml:space="preserve">, </w:t>
      </w:r>
      <w:r>
        <w:rPr>
          <w:rFonts w:ascii="Consolas" w:hAnsi="Consolas"/>
          <w:color w:val="1C5CAB"/>
          <w:sz w:val="19"/>
        </w:rPr>
        <w:t>latest</w:t>
      </w:r>
      <w:r>
        <w:rPr>
          <w:color w:val="3A3A38"/>
          <w:sz w:val="20"/>
        </w:rPr>
        <w:t xml:space="preserve">) reported exactly </w:t>
      </w:r>
      <w:r>
        <w:rPr>
          <w:rFonts w:ascii="Consolas" w:hAnsi="Consolas"/>
          <w:color w:val="1C5CAB"/>
          <w:sz w:val="19"/>
        </w:rPr>
        <w:t>0</w:t>
      </w:r>
      <w:r>
        <w:rPr>
          <w:color w:val="3A3A38"/>
          <w:sz w:val="20"/>
        </w:rPr>
        <w:t xml:space="preserve"> from the profiler — below </w:t>
      </w:r>
      <w:r>
        <w:rPr>
          <w:rFonts w:ascii="Consolas" w:hAnsi="Consolas"/>
          <w:color w:val="1C5CAB"/>
          <w:sz w:val="19"/>
        </w:rPr>
        <w:t>\ts</w:t>
      </w:r>
      <w:r>
        <w:rPr>
          <w:color w:val="3A3A38"/>
          <w:sz w:val="20"/>
        </w:rPr>
        <w:t>'s millisecond resolution at this call cost, not a claim that the operation is literally free.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Explaining the Spread: Decomposing an FX Quote in kdb+/q</dc:title>
  <dc:subject/>
  <dc:creator>Spencer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