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ADABA" w14:textId="77777777" w:rsidR="00FC4CD9" w:rsidRDefault="00000000">
      <w:pPr>
        <w:pBdr>
          <w:bottom w:val="single" w:sz="8" w:space="4" w:color="2F5F8A"/>
        </w:pBdr>
        <w:spacing w:after="80"/>
      </w:pPr>
      <w:r>
        <w:rPr>
          <w:b/>
          <w:sz w:val="44"/>
        </w:rPr>
        <w:t>Candlestick Pattern Recognition in kdb+/q</w:t>
      </w:r>
    </w:p>
    <w:p w14:paraId="6CE5B16A" w14:textId="77777777" w:rsidR="007C5F34" w:rsidRDefault="007C5F34" w:rsidP="007C5F34">
      <w:pPr>
        <w:spacing w:after="0" w:line="240" w:lineRule="auto"/>
      </w:pPr>
      <w:r>
        <w:rPr>
          <w:b/>
          <w:color w:val="2F5F8A"/>
          <w:sz w:val="30"/>
        </w:rPr>
        <w:t>Intro</w:t>
      </w:r>
    </w:p>
    <w:p w14:paraId="42D410EB" w14:textId="77777777" w:rsidR="007C5F34" w:rsidRDefault="007C5F34" w:rsidP="007C5F34">
      <w:pPr>
        <w:spacing w:after="0" w:line="240" w:lineRule="auto"/>
      </w:pPr>
      <w:r w:rsidRPr="000205A4">
        <w:t xml:space="preserve">Candlestick formations have been part of traditional technical analysis for a long time. The basic idea is simple: take the open, high, low and close of a bar and look for recurring shapes that might tell you something about what happens next. Patterns such as hammers, engulfing candles, </w:t>
      </w:r>
      <w:proofErr w:type="spellStart"/>
      <w:r w:rsidRPr="000205A4">
        <w:t>doji</w:t>
      </w:r>
      <w:proofErr w:type="spellEnd"/>
      <w:r w:rsidRPr="000205A4">
        <w:t xml:space="preserve"> and shooting stars are some of the better-known examples</w:t>
      </w:r>
      <w:r>
        <w:t xml:space="preserve">. </w:t>
      </w:r>
    </w:p>
    <w:p w14:paraId="5C99CE54" w14:textId="77777777" w:rsidR="007C5F34" w:rsidRDefault="007C5F34" w:rsidP="007C5F34">
      <w:pPr>
        <w:spacing w:after="0" w:line="240" w:lineRule="auto"/>
      </w:pPr>
      <w:hyperlink r:id="rId6" w:history="1">
        <w:r w:rsidRPr="00690F50">
          <w:rPr>
            <w:rStyle w:val="Hyperlink"/>
          </w:rPr>
          <w:t>https://dataintellect.com/blog/identifying-japanese-candle-sticks-using-python/</w:t>
        </w:r>
      </w:hyperlink>
    </w:p>
    <w:p w14:paraId="1F4AA126" w14:textId="2E8685EC" w:rsidR="00242465" w:rsidRDefault="00242465" w:rsidP="007C5F34">
      <w:pPr>
        <w:spacing w:after="0" w:line="240" w:lineRule="auto"/>
      </w:pPr>
      <w:r>
        <w:rPr>
          <w:noProof/>
        </w:rPr>
        <w:drawing>
          <wp:anchor distT="0" distB="0" distL="114300" distR="114300" simplePos="0" relativeHeight="251657216" behindDoc="1" locked="0" layoutInCell="1" allowOverlap="1" wp14:anchorId="6C740A57" wp14:editId="26D4363C">
            <wp:simplePos x="0" y="0"/>
            <wp:positionH relativeFrom="column">
              <wp:posOffset>2051537</wp:posOffset>
            </wp:positionH>
            <wp:positionV relativeFrom="paragraph">
              <wp:posOffset>343860</wp:posOffset>
            </wp:positionV>
            <wp:extent cx="3465830" cy="1536700"/>
            <wp:effectExtent l="0" t="0" r="1270" b="6350"/>
            <wp:wrapTight wrapText="bothSides">
              <wp:wrapPolygon edited="0">
                <wp:start x="0" y="0"/>
                <wp:lineTo x="0" y="21421"/>
                <wp:lineTo x="21489" y="21421"/>
                <wp:lineTo x="21489" y="0"/>
                <wp:lineTo x="0" y="0"/>
              </wp:wrapPolygon>
            </wp:wrapTight>
            <wp:docPr id="21073638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65830" cy="1536700"/>
                    </a:xfrm>
                    <a:prstGeom prst="rect">
                      <a:avLst/>
                    </a:prstGeom>
                    <a:noFill/>
                    <a:ln>
                      <a:noFill/>
                    </a:ln>
                  </pic:spPr>
                </pic:pic>
              </a:graphicData>
            </a:graphic>
          </wp:anchor>
        </w:drawing>
      </w:r>
      <w:r>
        <w:rPr>
          <w:noProof/>
        </w:rPr>
        <w:drawing>
          <wp:inline distT="0" distB="0" distL="0" distR="0" wp14:anchorId="730C16EE" wp14:editId="5D74292B">
            <wp:extent cx="2083981" cy="2360565"/>
            <wp:effectExtent l="0" t="0" r="0" b="1905"/>
            <wp:docPr id="90635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6902" cy="2375201"/>
                    </a:xfrm>
                    <a:prstGeom prst="rect">
                      <a:avLst/>
                    </a:prstGeom>
                    <a:noFill/>
                    <a:ln>
                      <a:noFill/>
                    </a:ln>
                  </pic:spPr>
                </pic:pic>
              </a:graphicData>
            </a:graphic>
          </wp:inline>
        </w:drawing>
      </w:r>
    </w:p>
    <w:p w14:paraId="138D46E2" w14:textId="77777777" w:rsidR="007C5F34" w:rsidRDefault="007C5F34" w:rsidP="007C5F34">
      <w:pPr>
        <w:spacing w:after="0" w:line="240" w:lineRule="auto"/>
      </w:pPr>
    </w:p>
    <w:p w14:paraId="2DE501D4" w14:textId="77777777" w:rsidR="007C5F34" w:rsidRPr="000205A4" w:rsidRDefault="007C5F34" w:rsidP="007C5F34">
      <w:pPr>
        <w:spacing w:after="0" w:line="240" w:lineRule="auto"/>
      </w:pPr>
      <w:r w:rsidRPr="000205A4">
        <w:t>I came across a Data Intellect article that looked at this problem using Python and TA-Lib. The article was a useful starting point because it didn't just describe the patterns; it tested them against historical market data and looked at whether the patterns had any measurable predictive value.</w:t>
      </w:r>
    </w:p>
    <w:p w14:paraId="4583DE8F" w14:textId="77777777" w:rsidR="007C5F34" w:rsidRDefault="007C5F34" w:rsidP="007C5F34">
      <w:pPr>
        <w:spacing w:after="0" w:line="240" w:lineRule="auto"/>
      </w:pPr>
    </w:p>
    <w:p w14:paraId="6EFDE4CB" w14:textId="32956FA2" w:rsidR="007C5F34" w:rsidRDefault="007C5F34" w:rsidP="007C5F34">
      <w:pPr>
        <w:spacing w:after="0" w:line="240" w:lineRule="auto"/>
      </w:pPr>
      <w:r w:rsidRPr="000205A4">
        <w:t xml:space="preserve">That got me interested in doing the same thing in </w:t>
      </w:r>
      <w:proofErr w:type="spellStart"/>
      <w:r w:rsidRPr="000205A4">
        <w:t>kdb</w:t>
      </w:r>
      <w:proofErr w:type="spellEnd"/>
      <w:r w:rsidRPr="000205A4">
        <w:t>+.</w:t>
      </w:r>
      <w:r>
        <w:t xml:space="preserve">  Given the rise of algorithmic and quantitative trading, candlestick analysis used for alpha discovery is less likely to be used. This article is a fun revisit into the Data Intellect article, however this time with </w:t>
      </w:r>
      <w:r w:rsidR="00242465">
        <w:t>all</w:t>
      </w:r>
      <w:r>
        <w:t xml:space="preserve"> the code and research done in KDB+. </w:t>
      </w:r>
    </w:p>
    <w:p w14:paraId="1D3F3F94" w14:textId="77777777" w:rsidR="007C5F34" w:rsidRDefault="007C5F34" w:rsidP="007C5F34">
      <w:pPr>
        <w:spacing w:after="0" w:line="240" w:lineRule="auto"/>
        <w:rPr>
          <w:b/>
          <w:color w:val="2F5F8A"/>
          <w:sz w:val="30"/>
        </w:rPr>
      </w:pPr>
    </w:p>
    <w:p w14:paraId="1E76BFBF" w14:textId="77777777" w:rsidR="00FC4CD9" w:rsidRDefault="00000000" w:rsidP="007C5F34">
      <w:pPr>
        <w:spacing w:after="0" w:line="240" w:lineRule="auto"/>
      </w:pPr>
      <w:r>
        <w:rPr>
          <w:b/>
          <w:color w:val="2F5F8A"/>
          <w:sz w:val="30"/>
        </w:rPr>
        <w:t>Abstract</w:t>
      </w:r>
    </w:p>
    <w:p w14:paraId="4CA6D7F4" w14:textId="77777777" w:rsidR="00FC4CD9" w:rsidRDefault="00000000" w:rsidP="007C5F34">
      <w:pPr>
        <w:spacing w:after="0" w:line="240" w:lineRule="auto"/>
      </w:pPr>
      <w:r>
        <w:t>A hammer and a hanging man have the same candle shape, yet TA-Lib treats them as opposite signals. The difference isn't the candle itself, but the trend that came before it.</w:t>
      </w:r>
    </w:p>
    <w:p w14:paraId="7814941C" w14:textId="77777777" w:rsidR="00952D2F" w:rsidRDefault="00952D2F" w:rsidP="007C5F34">
      <w:pPr>
        <w:spacing w:after="0" w:line="240" w:lineRule="auto"/>
      </w:pPr>
    </w:p>
    <w:p w14:paraId="1906B4A6" w14:textId="67D6A3AB" w:rsidR="00FC4CD9" w:rsidRDefault="00000000" w:rsidP="007C5F34">
      <w:pPr>
        <w:spacing w:after="0" w:line="240" w:lineRule="auto"/>
      </w:pPr>
      <w:r>
        <w:t xml:space="preserve">This is something I wanted to explore when I added candlestick recognition to openQ. The file </w:t>
      </w:r>
      <w:r>
        <w:rPr>
          <w:rFonts w:ascii="Consolas" w:hAnsi="Consolas"/>
          <w:color w:val="8A3F1E"/>
          <w:sz w:val="20"/>
        </w:rPr>
        <w:t>analytics/candle/candle.q</w:t>
      </w:r>
      <w:r>
        <w:t xml:space="preserve"> contains 32 patterns implemented in q and integrated with the openQ backtest framework. I ported the original implementation from another q project, which exposed several issues specific to the q implementation rather than the candlestick definitions </w:t>
      </w:r>
      <w:proofErr w:type="spellStart"/>
      <w:r>
        <w:t>themselves.I</w:t>
      </w:r>
      <w:proofErr w:type="spellEnd"/>
      <w:r>
        <w:t xml:space="preserve"> used the Data Intellect Python/TA-Lib analysis as a reference, reproducing its results in q before extending the tests across multiple instruments. This turned up a few interesting results.</w:t>
      </w:r>
    </w:p>
    <w:p w14:paraId="6132E9A4" w14:textId="77777777" w:rsidR="00952D2F" w:rsidRDefault="00952D2F" w:rsidP="007C5F34">
      <w:pPr>
        <w:spacing w:after="0" w:line="240" w:lineRule="auto"/>
      </w:pPr>
    </w:p>
    <w:p w14:paraId="314CFD2D" w14:textId="4882E909" w:rsidR="00FC4CD9" w:rsidRDefault="00000000" w:rsidP="007C5F34">
      <w:pPr>
        <w:spacing w:after="0" w:line="240" w:lineRule="auto"/>
      </w:pPr>
      <w:r>
        <w:t xml:space="preserve">The distinction between patterns such as hammer/hanging man and inverted hammer/shooting star is contextual, with the direction determined by </w:t>
      </w:r>
      <w:r>
        <w:rPr>
          <w:rFonts w:ascii="Consolas" w:hAnsi="Consolas"/>
          <w:color w:val="8A3F1E"/>
          <w:sz w:val="20"/>
        </w:rPr>
        <w:t>.candle.priorTrend</w:t>
      </w:r>
      <w:r>
        <w:t xml:space="preserve">. The port also exposed eleven categories of implementation issues, including where-clause scoping, closure behaviour with </w:t>
      </w:r>
      <w:r>
        <w:rPr>
          <w:rFonts w:ascii="Consolas" w:hAnsi="Consolas"/>
          <w:color w:val="8A3F1E"/>
          <w:sz w:val="20"/>
        </w:rPr>
        <w:t>each</w:t>
      </w:r>
      <w:r>
        <w:t xml:space="preserve">, and problems with dyadic </w:t>
      </w:r>
      <w:r>
        <w:rPr>
          <w:rFonts w:ascii="Consolas" w:hAnsi="Consolas"/>
          <w:color w:val="8A3F1E"/>
          <w:sz w:val="20"/>
        </w:rPr>
        <w:t>max</w:t>
      </w:r>
      <w:r>
        <w:t>/</w:t>
      </w:r>
      <w:r>
        <w:rPr>
          <w:rFonts w:ascii="Consolas" w:hAnsi="Consolas"/>
          <w:color w:val="8A3F1E"/>
          <w:sz w:val="20"/>
        </w:rPr>
        <w:t>min</w:t>
      </w:r>
      <w:r>
        <w:t>.</w:t>
      </w:r>
    </w:p>
    <w:p w14:paraId="458DB146" w14:textId="77777777" w:rsidR="00952D2F" w:rsidRDefault="00952D2F" w:rsidP="007C5F34">
      <w:pPr>
        <w:spacing w:after="0" w:line="240" w:lineRule="auto"/>
      </w:pPr>
    </w:p>
    <w:p w14:paraId="71997C04" w14:textId="793A1D94" w:rsidR="00FC4CD9" w:rsidRDefault="00000000" w:rsidP="007C5F34">
      <w:pPr>
        <w:spacing w:after="0" w:line="240" w:lineRule="auto"/>
      </w:pPr>
      <w:r>
        <w:lastRenderedPageBreak/>
        <w:t xml:space="preserve">The testing also uncovered a defect in the </w:t>
      </w:r>
      <w:r>
        <w:rPr>
          <w:rFonts w:ascii="Consolas" w:hAnsi="Consolas"/>
          <w:color w:val="8A3F1E"/>
          <w:sz w:val="20"/>
        </w:rPr>
        <w:t>kicking</w:t>
      </w:r>
      <w:r>
        <w:t xml:space="preserve"> pattern. Although it is described as a rare reversal pattern, it was firing on roughly one in four daily bars, with fewer than a third satisfying a genuine gap condition. The same behaviour appeared across all six instruments tested.</w:t>
      </w:r>
    </w:p>
    <w:p w14:paraId="28378909" w14:textId="77777777" w:rsidR="00FC4CD9" w:rsidRDefault="00000000" w:rsidP="007C5F34">
      <w:pPr>
        <w:spacing w:after="0" w:line="240" w:lineRule="auto"/>
      </w:pPr>
      <w:r>
        <w:t xml:space="preserve">Finally, I tested the full library across 14 instruments, producing 87,301 real pattern fires. Overall directional accuracy was 52.1% versus 50% for a coin flip. Across 105 pattern/side/horizon comparisons, none survived Bonferroni correction. The strongest result, bearish </w:t>
      </w:r>
      <w:r>
        <w:rPr>
          <w:rFonts w:ascii="Consolas" w:hAnsi="Consolas"/>
          <w:color w:val="8A3F1E"/>
          <w:sz w:val="20"/>
        </w:rPr>
        <w:t>engulfing</w:t>
      </w:r>
      <w:r>
        <w:t xml:space="preserve"> at a one-day horizon, was actually anti-predictive.</w:t>
      </w:r>
    </w:p>
    <w:p w14:paraId="4AEA28ED" w14:textId="77777777" w:rsidR="00952D2F" w:rsidRDefault="00952D2F" w:rsidP="007C5F34">
      <w:pPr>
        <w:spacing w:after="0" w:line="240" w:lineRule="auto"/>
      </w:pPr>
    </w:p>
    <w:p w14:paraId="7590E12D" w14:textId="3051BDC6" w:rsidR="00FC4CD9" w:rsidRDefault="00000000" w:rsidP="007C5F34">
      <w:pPr>
        <w:spacing w:after="0" w:line="240" w:lineRule="auto"/>
      </w:pPr>
      <w:r>
        <w:t>That leaves two separate questions. The first is an engineering problem. The second has to be demonstrated with data.</w:t>
      </w:r>
    </w:p>
    <w:p w14:paraId="521B836B" w14:textId="77777777" w:rsidR="00FC4CD9" w:rsidRDefault="00000000" w:rsidP="007C5F34">
      <w:pPr>
        <w:spacing w:after="0" w:line="240" w:lineRule="auto"/>
      </w:pPr>
      <w:r>
        <w:t>1. Does the library correctly recognise the pattern? 2. Does the pattern tell us anything about future returns?</w:t>
      </w:r>
    </w:p>
    <w:p w14:paraId="048D7452" w14:textId="77777777" w:rsidR="007C5F34" w:rsidRDefault="007C5F34" w:rsidP="007C5F34">
      <w:pPr>
        <w:spacing w:after="0" w:line="240" w:lineRule="auto"/>
        <w:rPr>
          <w:b/>
          <w:color w:val="2F5F8A"/>
          <w:sz w:val="30"/>
        </w:rPr>
      </w:pPr>
    </w:p>
    <w:p w14:paraId="41B4161A" w14:textId="77777777" w:rsidR="00FC4CD9" w:rsidRDefault="00000000" w:rsidP="007C5F34">
      <w:pPr>
        <w:spacing w:after="0" w:line="240" w:lineRule="auto"/>
      </w:pPr>
      <w:r>
        <w:rPr>
          <w:b/>
          <w:color w:val="2F5F8A"/>
          <w:sz w:val="30"/>
        </w:rPr>
        <w:t xml:space="preserve">1. </w:t>
      </w:r>
      <w:r w:rsidR="00D21205">
        <w:rPr>
          <w:b/>
          <w:color w:val="2F5F8A"/>
          <w:sz w:val="30"/>
        </w:rPr>
        <w:t>Initial Idea</w:t>
      </w:r>
    </w:p>
    <w:p w14:paraId="34C0B2A5" w14:textId="77777777" w:rsidR="00FC4CD9" w:rsidRDefault="00000000" w:rsidP="007C5F34">
      <w:pPr>
        <w:spacing w:after="0" w:line="240" w:lineRule="auto"/>
      </w:pPr>
      <w:r>
        <w:t>### 1.1 Motivation</w:t>
      </w:r>
    </w:p>
    <w:p w14:paraId="5F923D8E" w14:textId="77777777" w:rsidR="007C5F34" w:rsidRDefault="007C5F34" w:rsidP="007C5F34">
      <w:pPr>
        <w:spacing w:after="0" w:line="240" w:lineRule="auto"/>
      </w:pPr>
    </w:p>
    <w:p w14:paraId="085053B8" w14:textId="77777777" w:rsidR="00FC4CD9" w:rsidRDefault="00000000" w:rsidP="007C5F34">
      <w:pPr>
        <w:spacing w:after="0" w:line="240" w:lineRule="auto"/>
      </w:pPr>
      <w:r>
        <w:t>The Data Intellect article provided the starting point and a useful reference for the analysis. Everything that follows — the q implementation, validation, bug investigation, and larger-scale tests — was done using kdb+ and openQ's own data.</w:t>
      </w:r>
    </w:p>
    <w:p w14:paraId="0CA8793D" w14:textId="77777777" w:rsidR="00FC4CD9" w:rsidRDefault="00000000" w:rsidP="007C5F34">
      <w:pPr>
        <w:spacing w:after="0" w:line="240" w:lineRule="auto"/>
        <w:jc w:val="center"/>
      </w:pPr>
      <w:r>
        <w:rPr>
          <w:noProof/>
        </w:rPr>
        <w:drawing>
          <wp:inline distT="0" distB="0" distL="0" distR="0" wp14:anchorId="30DDB5AC" wp14:editId="448F44ED">
            <wp:extent cx="5852160" cy="16802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01_defaultsettings.png"/>
                    <pic:cNvPicPr/>
                  </pic:nvPicPr>
                  <pic:blipFill>
                    <a:blip r:embed="rId9"/>
                    <a:stretch>
                      <a:fillRect/>
                    </a:stretch>
                  </pic:blipFill>
                  <pic:spPr>
                    <a:xfrm>
                      <a:off x="0" y="0"/>
                      <a:ext cx="5852160" cy="1680210"/>
                    </a:xfrm>
                    <a:prstGeom prst="rect">
                      <a:avLst/>
                    </a:prstGeom>
                  </pic:spPr>
                </pic:pic>
              </a:graphicData>
            </a:graphic>
          </wp:inline>
        </w:drawing>
      </w:r>
    </w:p>
    <w:p w14:paraId="363FBFE6" w14:textId="77777777" w:rsidR="00FC4CD9" w:rsidRDefault="00FC4CD9" w:rsidP="007C5F34">
      <w:pPr>
        <w:spacing w:after="0" w:line="240" w:lineRule="auto"/>
      </w:pPr>
    </w:p>
    <w:p w14:paraId="46B1B0DF" w14:textId="77777777" w:rsidR="00FC4CD9" w:rsidRDefault="00000000" w:rsidP="007C5F34">
      <w:pPr>
        <w:spacing w:after="0" w:line="240" w:lineRule="auto"/>
      </w:pPr>
      <w:r>
        <w:t xml:space="preserve">The pattern definitions use a small set of configurable thresholds. Each setting is a </w:t>
      </w:r>
      <w:r>
        <w:rPr>
          <w:rFonts w:ascii="Consolas" w:hAnsi="Consolas"/>
          <w:color w:val="8A3F1E"/>
          <w:sz w:val="20"/>
        </w:rPr>
        <w:t>(basis; lookback; factor)</w:t>
      </w:r>
      <w:r>
        <w:t xml:space="preserve"> triple. For example, </w:t>
      </w:r>
      <w:r>
        <w:rPr>
          <w:rFonts w:ascii="Consolas" w:hAnsi="Consolas"/>
          <w:color w:val="8A3F1E"/>
          <w:sz w:val="20"/>
        </w:rPr>
        <w:t>BodyLong</w:t>
      </w:r>
      <w:r>
        <w:t xml:space="preserve"> uses </w:t>
      </w:r>
      <w:r>
        <w:rPr>
          <w:rFonts w:ascii="Consolas" w:hAnsi="Consolas"/>
          <w:color w:val="8A3F1E"/>
          <w:sz w:val="20"/>
        </w:rPr>
        <w:t>realBody</w:t>
      </w:r>
      <w:r>
        <w:t>, looks back over 10 bars, and sets the threshold at 1× the average real body over that period.</w:t>
      </w:r>
    </w:p>
    <w:p w14:paraId="29DB3E71" w14:textId="77777777" w:rsidR="00FC4CD9" w:rsidRDefault="00000000" w:rsidP="007C5F34">
      <w:pPr>
        <w:spacing w:after="0" w:line="240" w:lineRule="auto"/>
      </w:pPr>
      <w:r>
        <w:t>These settings are kept as q data rather than being buried inside the pattern functions, so they are easy to inspect and change. If I want to change one of them, I can do it at runtime:</w:t>
      </w:r>
    </w:p>
    <w:p w14:paraId="5AF75050" w14:textId="77777777" w:rsidR="00FC4CD9" w:rsidRDefault="00000000" w:rsidP="007C5F34">
      <w:pPr>
        <w:spacing w:after="0" w:line="240" w:lineRule="auto"/>
        <w:jc w:val="center"/>
      </w:pPr>
      <w:r>
        <w:rPr>
          <w:noProof/>
        </w:rPr>
        <w:drawing>
          <wp:inline distT="0" distB="0" distL="0" distR="0" wp14:anchorId="47540FD7" wp14:editId="7EF0797A">
            <wp:extent cx="2321169" cy="914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02_set-runtime.png"/>
                    <pic:cNvPicPr/>
                  </pic:nvPicPr>
                  <pic:blipFill>
                    <a:blip r:embed="rId10"/>
                    <a:stretch>
                      <a:fillRect/>
                    </a:stretch>
                  </pic:blipFill>
                  <pic:spPr>
                    <a:xfrm>
                      <a:off x="0" y="0"/>
                      <a:ext cx="2321169" cy="914400"/>
                    </a:xfrm>
                    <a:prstGeom prst="rect">
                      <a:avLst/>
                    </a:prstGeom>
                  </pic:spPr>
                </pic:pic>
              </a:graphicData>
            </a:graphic>
          </wp:inline>
        </w:drawing>
      </w:r>
    </w:p>
    <w:p w14:paraId="5CD0F00B" w14:textId="77777777" w:rsidR="00FC4CD9" w:rsidRDefault="00FC4CD9" w:rsidP="007C5F34">
      <w:pPr>
        <w:spacing w:after="0" w:line="240" w:lineRule="auto"/>
      </w:pPr>
    </w:p>
    <w:p w14:paraId="5695ADD0" w14:textId="77777777" w:rsidR="00FC4CD9" w:rsidRDefault="00000000" w:rsidP="007C5F34">
      <w:pPr>
        <w:spacing w:after="0" w:line="240" w:lineRule="auto"/>
      </w:pPr>
      <w:r>
        <w:t>This was one of the reasons I kept the implementation in q rather than treating the candlestick logic as a black-box dependency. I can see exactly what each pattern is using, change the thresholds, and test the effect directly in kdb+.</w:t>
      </w:r>
    </w:p>
    <w:p w14:paraId="4739D9E8" w14:textId="77777777" w:rsidR="007C5F34" w:rsidRDefault="007C5F34" w:rsidP="007C5F34">
      <w:pPr>
        <w:spacing w:after="0" w:line="240" w:lineRule="auto"/>
      </w:pPr>
    </w:p>
    <w:p w14:paraId="11696EDA" w14:textId="77777777" w:rsidR="00FC4CD9" w:rsidRDefault="00000000" w:rsidP="007C5F34">
      <w:pPr>
        <w:spacing w:after="0" w:line="240" w:lineRule="auto"/>
      </w:pPr>
      <w:r>
        <w:t>This is a different trade-off from TA-Lib. TA-Lib is a mature, widely used C library that has been around for a long time and has had far more exposure to real-world use than this implementation. The advantage here is that the logic is visible and tunable. That makes it easier for me to experiment with the definitions and understand exactly why a pattern fired, but it doesn't make the implementation inherently better than TA-Lib.</w:t>
      </w:r>
    </w:p>
    <w:p w14:paraId="14CE654F" w14:textId="77777777" w:rsidR="007C5F34" w:rsidRDefault="007C5F34" w:rsidP="007C5F34">
      <w:pPr>
        <w:spacing w:after="0" w:line="240" w:lineRule="auto"/>
      </w:pPr>
    </w:p>
    <w:p w14:paraId="4D113F72" w14:textId="77777777" w:rsidR="00FC4CD9" w:rsidRDefault="00000000" w:rsidP="007C5F34">
      <w:pPr>
        <w:spacing w:after="0" w:line="240" w:lineRule="auto"/>
      </w:pPr>
      <w:r>
        <w:t>### 1.2 Scope and Repository</w:t>
      </w:r>
    </w:p>
    <w:p w14:paraId="29BBD7A6" w14:textId="77777777" w:rsidR="00FC4CD9" w:rsidRDefault="00000000" w:rsidP="007C5F34">
      <w:pPr>
        <w:spacing w:after="0" w:line="240" w:lineRule="auto"/>
      </w:pPr>
      <w:r>
        <w:t xml:space="preserve">This article is a companion piece to a separate project — </w:t>
      </w:r>
      <w:r>
        <w:rPr>
          <w:rFonts w:ascii="Consolas" w:hAnsi="Consolas"/>
          <w:color w:val="8A3F1E"/>
          <w:sz w:val="20"/>
        </w:rPr>
        <w:t>candle</w:t>
      </w:r>
      <w:r>
        <w:t xml:space="preserve"> is not code embedded in this repository the way </w:t>
      </w:r>
      <w:r>
        <w:rPr>
          <w:rFonts w:ascii="Consolas" w:hAnsi="Consolas"/>
          <w:color w:val="8A3F1E"/>
          <w:sz w:val="20"/>
        </w:rPr>
        <w:t>spread.q</w:t>
      </w:r>
      <w:r>
        <w:t xml:space="preserve"> or </w:t>
      </w:r>
      <w:r>
        <w:rPr>
          <w:rFonts w:ascii="Consolas" w:hAnsi="Consolas"/>
          <w:color w:val="8A3F1E"/>
          <w:sz w:val="20"/>
        </w:rPr>
        <w:t>logToTab.q</w:t>
      </w:r>
      <w:r>
        <w:t xml:space="preserve"> are. It is a module under </w:t>
      </w:r>
      <w:r>
        <w:rPr>
          <w:rFonts w:ascii="Consolas" w:hAnsi="Consolas"/>
          <w:color w:val="8A3F1E"/>
          <w:sz w:val="20"/>
        </w:rPr>
        <w:t>modules/analytics/candle/</w:t>
      </w:r>
      <w:r>
        <w:t xml:space="preserve"> in </w:t>
      </w:r>
      <w:hyperlink r:id="rId11">
        <w:r w:rsidR="00FC4CD9">
          <w:rPr>
            <w:color w:val="2F5F8A"/>
            <w:u w:val="single"/>
          </w:rPr>
          <w:t>openQ</w:t>
        </w:r>
      </w:hyperlink>
      <w:r>
        <w:t xml:space="preserve">, consumed by </w:t>
      </w:r>
      <w:r>
        <w:rPr>
          <w:rFonts w:ascii="Consolas" w:hAnsi="Consolas"/>
          <w:color w:val="8A3F1E"/>
          <w:sz w:val="20"/>
        </w:rPr>
        <w:t>modules/backtest/backtest.q</w:t>
      </w:r>
      <w:r>
        <w:t xml:space="preserve"> as one of four pluggable alpha models (the other three are </w:t>
      </w:r>
      <w:r>
        <w:rPr>
          <w:rFonts w:ascii="Consolas" w:hAnsi="Consolas"/>
          <w:color w:val="8A3F1E"/>
          <w:sz w:val="20"/>
        </w:rPr>
        <w:t>smaCrossover</w:t>
      </w:r>
      <w:r>
        <w:t xml:space="preserve">, </w:t>
      </w:r>
      <w:r>
        <w:rPr>
          <w:rFonts w:ascii="Consolas" w:hAnsi="Consolas"/>
          <w:color w:val="8A3F1E"/>
          <w:sz w:val="20"/>
        </w:rPr>
        <w:t>meanReversion</w:t>
      </w:r>
      <w:r>
        <w:t xml:space="preserve">, and </w:t>
      </w:r>
      <w:r>
        <w:rPr>
          <w:rFonts w:ascii="Consolas" w:hAnsi="Consolas"/>
          <w:color w:val="8A3F1E"/>
          <w:sz w:val="20"/>
        </w:rPr>
        <w:t>momentum</w:t>
      </w:r>
      <w:r>
        <w:t xml:space="preserve">; see the </w:t>
      </w:r>
      <w:r>
        <w:rPr>
          <w:rFonts w:ascii="Consolas" w:hAnsi="Consolas"/>
          <w:color w:val="8A3F1E"/>
          <w:sz w:val="20"/>
        </w:rPr>
        <w:t>openQ</w:t>
      </w:r>
      <w:r>
        <w:t xml:space="preserve"> architecture article for the backtest engine's own design). However, this scope and architecture is subject to change in the near future.</w:t>
      </w:r>
    </w:p>
    <w:p w14:paraId="264CCFFA" w14:textId="77777777" w:rsidR="007C5F34" w:rsidRDefault="007C5F34" w:rsidP="007C5F34">
      <w:pPr>
        <w:spacing w:after="0" w:line="240" w:lineRule="auto"/>
        <w:rPr>
          <w:b/>
          <w:color w:val="2F5F8A"/>
          <w:sz w:val="30"/>
        </w:rPr>
      </w:pPr>
    </w:p>
    <w:p w14:paraId="6BD36709" w14:textId="77777777" w:rsidR="00FC4CD9" w:rsidRDefault="00000000" w:rsidP="007C5F34">
      <w:pPr>
        <w:spacing w:after="0" w:line="240" w:lineRule="auto"/>
      </w:pPr>
      <w:r>
        <w:rPr>
          <w:b/>
          <w:color w:val="2F5F8A"/>
          <w:sz w:val="30"/>
        </w:rPr>
        <w:t>2. Library Design</w:t>
      </w:r>
    </w:p>
    <w:p w14:paraId="2824AD78" w14:textId="77777777" w:rsidR="00FC4CD9" w:rsidRDefault="00000000" w:rsidP="007C5F34">
      <w:pPr>
        <w:spacing w:after="0" w:line="240" w:lineRule="auto"/>
      </w:pPr>
      <w:r>
        <w:t>### 2.1 Pattern Inventory and Shared Representation</w:t>
      </w:r>
    </w:p>
    <w:p w14:paraId="221FAF56" w14:textId="77777777" w:rsidR="00FC4CD9" w:rsidRDefault="00000000" w:rsidP="007C5F34">
      <w:pPr>
        <w:spacing w:after="0" w:line="240" w:lineRule="auto"/>
      </w:pPr>
      <w:r>
        <w:rPr>
          <w:rFonts w:ascii="Consolas" w:hAnsi="Consolas"/>
          <w:color w:val="8A3F1E"/>
          <w:sz w:val="20"/>
        </w:rPr>
        <w:t>candle.q</w:t>
      </w:r>
      <w:r>
        <w:t xml:space="preserve"> implements 13 single-candle, 7 two-candle, and 12 three-candle patterns — 32 in total — each a pure function over an OHLC bar table. Every pattern returns one of two native output shapes: a plain boolean "present" vector for a pattern with no direction of its own (</w:t>
      </w:r>
      <w:r>
        <w:rPr>
          <w:rFonts w:ascii="Consolas" w:hAnsi="Consolas"/>
          <w:color w:val="8A3F1E"/>
          <w:sz w:val="20"/>
        </w:rPr>
        <w:t>doji</w:t>
      </w:r>
      <w:r>
        <w:t xml:space="preserve">, </w:t>
      </w:r>
      <w:r>
        <w:rPr>
          <w:rFonts w:ascii="Consolas" w:hAnsi="Consolas"/>
          <w:color w:val="8A3F1E"/>
          <w:sz w:val="20"/>
        </w:rPr>
        <w:t>spinningTop</w:t>
      </w:r>
      <w:r>
        <w:t xml:space="preserve">, </w:t>
      </w:r>
      <w:r>
        <w:rPr>
          <w:rFonts w:ascii="Consolas" w:hAnsi="Consolas"/>
          <w:color w:val="8A3F1E"/>
          <w:sz w:val="20"/>
        </w:rPr>
        <w:t>marubozu</w:t>
      </w:r>
      <w:r>
        <w:t xml:space="preserve"> — a statement about presence, not direction), or a signed </w:t>
      </w:r>
      <w:r>
        <w:rPr>
          <w:rFonts w:ascii="Consolas" w:hAnsi="Consolas"/>
          <w:color w:val="8A3F1E"/>
          <w:sz w:val="20"/>
        </w:rPr>
        <w:t>-100</w:t>
      </w:r>
      <w:r>
        <w:t>/</w:t>
      </w:r>
      <w:r>
        <w:rPr>
          <w:rFonts w:ascii="Consolas" w:hAnsi="Consolas"/>
          <w:color w:val="8A3F1E"/>
          <w:sz w:val="20"/>
        </w:rPr>
        <w:t>0</w:t>
      </w:r>
      <w:r>
        <w:t>/</w:t>
      </w:r>
      <w:r>
        <w:rPr>
          <w:rFonts w:ascii="Consolas" w:hAnsi="Consolas"/>
          <w:color w:val="8A3F1E"/>
          <w:sz w:val="20"/>
        </w:rPr>
        <w:t>+100</w:t>
      </w:r>
      <w:r>
        <w:t xml:space="preserve"> vector for a pattern whose shape already implies a direction (</w:t>
      </w:r>
      <w:r>
        <w:rPr>
          <w:rFonts w:ascii="Consolas" w:hAnsi="Consolas"/>
          <w:color w:val="8A3F1E"/>
          <w:sz w:val="20"/>
        </w:rPr>
        <w:t>engulfing</w:t>
      </w:r>
      <w:r>
        <w:t xml:space="preserve">, </w:t>
      </w:r>
      <w:r>
        <w:rPr>
          <w:rFonts w:ascii="Consolas" w:hAnsi="Consolas"/>
          <w:color w:val="8A3F1E"/>
          <w:sz w:val="20"/>
        </w:rPr>
        <w:t>harami</w:t>
      </w:r>
      <w:r>
        <w:t xml:space="preserve">, </w:t>
      </w:r>
      <w:r>
        <w:rPr>
          <w:rFonts w:ascii="Consolas" w:hAnsi="Consolas"/>
          <w:color w:val="8A3F1E"/>
          <w:sz w:val="20"/>
        </w:rPr>
        <w:t>morningStar</w:t>
      </w:r>
      <w:r>
        <w:t xml:space="preserve">). </w:t>
      </w:r>
      <w:r>
        <w:rPr>
          <w:rFonts w:ascii="Consolas" w:hAnsi="Consolas"/>
          <w:color w:val="8A3F1E"/>
          <w:sz w:val="20"/>
        </w:rPr>
        <w:t>.candle.meta</w:t>
      </w:r>
      <w:r>
        <w:t xml:space="preserve"> is the registry recording which representation applies to each pattern, alongside its candle count and TA-Lib category:</w:t>
      </w:r>
    </w:p>
    <w:p w14:paraId="34962872" w14:textId="77777777" w:rsidR="00FC4CD9" w:rsidRDefault="00000000" w:rsidP="007C5F34">
      <w:pPr>
        <w:spacing w:after="0" w:line="240" w:lineRule="auto"/>
        <w:jc w:val="center"/>
      </w:pPr>
      <w:r>
        <w:rPr>
          <w:noProof/>
        </w:rPr>
        <w:drawing>
          <wp:inline distT="0" distB="0" distL="0" distR="0" wp14:anchorId="6A713D5F" wp14:editId="154C4FB0">
            <wp:extent cx="5852160" cy="16161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meta.png"/>
                    <pic:cNvPicPr/>
                  </pic:nvPicPr>
                  <pic:blipFill>
                    <a:blip r:embed="rId12"/>
                    <a:stretch>
                      <a:fillRect/>
                    </a:stretch>
                  </pic:blipFill>
                  <pic:spPr>
                    <a:xfrm>
                      <a:off x="0" y="0"/>
                      <a:ext cx="5852160" cy="1616187"/>
                    </a:xfrm>
                    <a:prstGeom prst="rect">
                      <a:avLst/>
                    </a:prstGeom>
                  </pic:spPr>
                </pic:pic>
              </a:graphicData>
            </a:graphic>
          </wp:inline>
        </w:drawing>
      </w:r>
    </w:p>
    <w:p w14:paraId="7F9A6BB6" w14:textId="77777777" w:rsidR="00FC4CD9" w:rsidRDefault="00000000" w:rsidP="007C5F34">
      <w:pPr>
        <w:spacing w:after="0" w:line="240" w:lineRule="auto"/>
        <w:jc w:val="center"/>
      </w:pPr>
      <w:r>
        <w:rPr>
          <w:i/>
          <w:color w:val="5A6A72"/>
          <w:sz w:val="18"/>
        </w:rPr>
        <w:t>.candle.meta — pattern, candle count, direction, category</w:t>
      </w:r>
    </w:p>
    <w:p w14:paraId="62231E33" w14:textId="77777777" w:rsidR="00FC4CD9" w:rsidRDefault="00000000" w:rsidP="007C5F34">
      <w:pPr>
        <w:spacing w:after="0" w:line="240" w:lineRule="auto"/>
        <w:jc w:val="center"/>
      </w:pPr>
      <w:r>
        <w:rPr>
          <w:noProof/>
        </w:rPr>
        <w:drawing>
          <wp:inline distT="0" distB="0" distL="0" distR="0" wp14:anchorId="2B99D52D" wp14:editId="4793E8B4">
            <wp:extent cx="5852160" cy="13388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03_meta.png"/>
                    <pic:cNvPicPr/>
                  </pic:nvPicPr>
                  <pic:blipFill>
                    <a:blip r:embed="rId13"/>
                    <a:stretch>
                      <a:fillRect/>
                    </a:stretch>
                  </pic:blipFill>
                  <pic:spPr>
                    <a:xfrm>
                      <a:off x="0" y="0"/>
                      <a:ext cx="5852160" cy="1338871"/>
                    </a:xfrm>
                    <a:prstGeom prst="rect">
                      <a:avLst/>
                    </a:prstGeom>
                  </pic:spPr>
                </pic:pic>
              </a:graphicData>
            </a:graphic>
          </wp:inline>
        </w:drawing>
      </w:r>
    </w:p>
    <w:p w14:paraId="784A78BE" w14:textId="77777777" w:rsidR="00FC4CD9" w:rsidRDefault="00FC4CD9" w:rsidP="007C5F34">
      <w:pPr>
        <w:spacing w:after="0" w:line="240" w:lineRule="auto"/>
      </w:pPr>
    </w:p>
    <w:p w14:paraId="5C0718A4" w14:textId="77777777" w:rsidR="00FC4CD9" w:rsidRDefault="00000000" w:rsidP="007C5F34">
      <w:pPr>
        <w:spacing w:after="0" w:line="240" w:lineRule="auto"/>
      </w:pPr>
      <w:r>
        <w:t xml:space="preserve">No downstream consumer needs to know a given pattern's native output shape in advance — </w:t>
      </w:r>
      <w:r>
        <w:rPr>
          <w:rFonts w:ascii="Consolas" w:hAnsi="Consolas"/>
          <w:color w:val="8A3F1E"/>
          <w:sz w:val="20"/>
        </w:rPr>
        <w:t>.bt.alphas.candlePattern</w:t>
      </w:r>
      <w:r>
        <w:t xml:space="preserve"> (§8) looks it up from </w:t>
      </w:r>
      <w:r>
        <w:rPr>
          <w:rFonts w:ascii="Consolas" w:hAnsi="Consolas"/>
          <w:color w:val="8A3F1E"/>
          <w:sz w:val="20"/>
        </w:rPr>
        <w:t>direction</w:t>
      </w:r>
      <w:r>
        <w:t xml:space="preserve"> on every invocation rather than hardcoding it per pattern name, so adding a 33rd pattern requires one registry row and no change to any caller.</w:t>
      </w:r>
    </w:p>
    <w:p w14:paraId="17494317" w14:textId="77777777" w:rsidR="00FC4CD9" w:rsidRDefault="00000000" w:rsidP="007C5F34">
      <w:pPr>
        <w:spacing w:after="0" w:line="240" w:lineRule="auto"/>
      </w:pPr>
      <w:r>
        <w:t>### 2.2 Design Insight: Shape Is Not the Signal</w:t>
      </w:r>
    </w:p>
    <w:p w14:paraId="35A3B997" w14:textId="30C17314" w:rsidR="00FC4CD9" w:rsidRDefault="00000000" w:rsidP="007C5F34">
      <w:pPr>
        <w:spacing w:after="0" w:line="240" w:lineRule="auto"/>
      </w:pPr>
      <w:r>
        <w:t xml:space="preserve">Four of the 13 single-candle patterns reduce to two underlying shapes, each read two ways. A small body with a long lower shadow and almost no upper shadow is either </w:t>
      </w:r>
      <w:r>
        <w:rPr>
          <w:rFonts w:ascii="Consolas" w:hAnsi="Consolas"/>
          <w:color w:val="8A3F1E"/>
          <w:sz w:val="20"/>
        </w:rPr>
        <w:t>hammer</w:t>
      </w:r>
      <w:r>
        <w:t xml:space="preserve"> or </w:t>
      </w:r>
      <w:r>
        <w:rPr>
          <w:rFonts w:ascii="Consolas" w:hAnsi="Consolas"/>
          <w:color w:val="8A3F1E"/>
          <w:sz w:val="20"/>
        </w:rPr>
        <w:t>hangingMan</w:t>
      </w:r>
      <w:r>
        <w:t>; its mirror image (long</w:t>
      </w:r>
      <w:r w:rsidR="00952D2F">
        <w:t xml:space="preserve"> </w:t>
      </w:r>
      <w:r>
        <w:rPr>
          <w:i/>
        </w:rPr>
        <w:t>upper</w:t>
      </w:r>
      <w:r>
        <w:t xml:space="preserve"> shadow instead) is either </w:t>
      </w:r>
      <w:r>
        <w:rPr>
          <w:rFonts w:ascii="Consolas" w:hAnsi="Consolas"/>
          <w:color w:val="8A3F1E"/>
          <w:sz w:val="20"/>
        </w:rPr>
        <w:t>invertedHammer</w:t>
      </w:r>
      <w:r>
        <w:t xml:space="preserve"> or </w:t>
      </w:r>
      <w:r>
        <w:rPr>
          <w:rFonts w:ascii="Consolas" w:hAnsi="Consolas"/>
          <w:color w:val="8A3F1E"/>
          <w:sz w:val="20"/>
        </w:rPr>
        <w:t>shootingStar</w:t>
      </w:r>
      <w:r>
        <w:t xml:space="preserve">. An earlier revision of this port implemented </w:t>
      </w:r>
      <w:r>
        <w:rPr>
          <w:rFonts w:ascii="Consolas" w:hAnsi="Consolas"/>
          <w:color w:val="8A3F1E"/>
          <w:sz w:val="20"/>
        </w:rPr>
        <w:t>hangingMan</w:t>
      </w:r>
      <w:r>
        <w:t>/</w:t>
      </w:r>
      <w:r>
        <w:rPr>
          <w:rFonts w:ascii="Consolas" w:hAnsi="Consolas"/>
          <w:color w:val="8A3F1E"/>
          <w:sz w:val="20"/>
        </w:rPr>
        <w:t>shootingStar</w:t>
      </w:r>
      <w:r>
        <w:t xml:space="preserve"> as bare aliases of </w:t>
      </w:r>
      <w:r>
        <w:rPr>
          <w:rFonts w:ascii="Consolas" w:hAnsi="Consolas"/>
          <w:color w:val="8A3F1E"/>
          <w:sz w:val="20"/>
        </w:rPr>
        <w:t>hammer</w:t>
      </w:r>
      <w:r>
        <w:t>/</w:t>
      </w:r>
      <w:r>
        <w:rPr>
          <w:rFonts w:ascii="Consolas" w:hAnsi="Consolas"/>
          <w:color w:val="8A3F1E"/>
          <w:sz w:val="20"/>
        </w:rPr>
        <w:t>invertedHammer</w:t>
      </w:r>
      <w:r>
        <w:t xml:space="preserve"> — the same function under a different name — which is incorrect in a checkable way: run against real bars, the aliased pair fired on the identical set of candles every time, which cannot be correct for two patterns TA-Lib documents as opposite-direction signals.</w:t>
      </w:r>
    </w:p>
    <w:p w14:paraId="65139F0F" w14:textId="77777777" w:rsidR="00FC4CD9" w:rsidRDefault="00000000" w:rsidP="007C5F34">
      <w:pPr>
        <w:spacing w:after="0" w:line="240" w:lineRule="auto"/>
        <w:jc w:val="center"/>
      </w:pPr>
      <w:r>
        <w:rPr>
          <w:noProof/>
        </w:rPr>
        <w:lastRenderedPageBreak/>
        <w:drawing>
          <wp:inline distT="0" distB="0" distL="0" distR="0" wp14:anchorId="10531490" wp14:editId="5E48A39D">
            <wp:extent cx="4811150" cy="2560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priortrend.png"/>
                    <pic:cNvPicPr/>
                  </pic:nvPicPr>
                  <pic:blipFill>
                    <a:blip r:embed="rId14"/>
                    <a:stretch>
                      <a:fillRect/>
                    </a:stretch>
                  </pic:blipFill>
                  <pic:spPr>
                    <a:xfrm>
                      <a:off x="0" y="0"/>
                      <a:ext cx="4811150" cy="2560320"/>
                    </a:xfrm>
                    <a:prstGeom prst="rect">
                      <a:avLst/>
                    </a:prstGeom>
                  </pic:spPr>
                </pic:pic>
              </a:graphicData>
            </a:graphic>
          </wp:inline>
        </w:drawing>
      </w:r>
    </w:p>
    <w:p w14:paraId="3CC9EE0C" w14:textId="77777777" w:rsidR="00FC4CD9" w:rsidRDefault="00000000" w:rsidP="007C5F34">
      <w:pPr>
        <w:spacing w:after="0" w:line="240" w:lineRule="auto"/>
        <w:jc w:val="center"/>
      </w:pPr>
      <w:r>
        <w:rPr>
          <w:i/>
          <w:color w:val="5A6A72"/>
          <w:sz w:val="18"/>
        </w:rPr>
        <w:t>hammer and hangingMan compute the identical shape — only the trend-sign check differs</w:t>
      </w:r>
    </w:p>
    <w:p w14:paraId="29BE15E8" w14:textId="77777777" w:rsidR="00FC4CD9" w:rsidRDefault="00000000" w:rsidP="007C5F34">
      <w:pPr>
        <w:spacing w:after="0" w:line="240" w:lineRule="auto"/>
        <w:jc w:val="center"/>
      </w:pPr>
      <w:r>
        <w:rPr>
          <w:noProof/>
        </w:rPr>
        <w:drawing>
          <wp:inline distT="0" distB="0" distL="0" distR="0" wp14:anchorId="23B9ACEE" wp14:editId="252BF9B5">
            <wp:extent cx="4811150" cy="35591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04_priortrend-hammer-hangingman.png"/>
                    <pic:cNvPicPr/>
                  </pic:nvPicPr>
                  <pic:blipFill>
                    <a:blip r:embed="rId15"/>
                    <a:stretch>
                      <a:fillRect/>
                    </a:stretch>
                  </pic:blipFill>
                  <pic:spPr>
                    <a:xfrm>
                      <a:off x="0" y="0"/>
                      <a:ext cx="4811150" cy="3559126"/>
                    </a:xfrm>
                    <a:prstGeom prst="rect">
                      <a:avLst/>
                    </a:prstGeom>
                  </pic:spPr>
                </pic:pic>
              </a:graphicData>
            </a:graphic>
          </wp:inline>
        </w:drawing>
      </w:r>
    </w:p>
    <w:p w14:paraId="7C5B2D0F" w14:textId="77777777" w:rsidR="00FC4CD9" w:rsidRDefault="00FC4CD9" w:rsidP="007C5F34">
      <w:pPr>
        <w:spacing w:after="0" w:line="240" w:lineRule="auto"/>
      </w:pPr>
    </w:p>
    <w:p w14:paraId="50DC991A" w14:textId="77777777" w:rsidR="00FC4CD9" w:rsidRDefault="00000000" w:rsidP="007C5F34">
      <w:pPr>
        <w:spacing w:after="0" w:line="240" w:lineRule="auto"/>
      </w:pPr>
      <w:r>
        <w:rPr>
          <w:rFonts w:ascii="Consolas" w:hAnsi="Consolas"/>
          <w:color w:val="8A3F1E"/>
          <w:sz w:val="20"/>
        </w:rPr>
        <w:t>hammer</w:t>
      </w:r>
      <w:r>
        <w:t xml:space="preserve"> and </w:t>
      </w:r>
      <w:r>
        <w:rPr>
          <w:rFonts w:ascii="Consolas" w:hAnsi="Consolas"/>
          <w:color w:val="8A3F1E"/>
          <w:sz w:val="20"/>
        </w:rPr>
        <w:t>hangingMan</w:t>
      </w:r>
      <w:r>
        <w:t xml:space="preserve"> compute the identical </w:t>
      </w:r>
      <w:r>
        <w:rPr>
          <w:rFonts w:ascii="Consolas" w:hAnsi="Consolas"/>
          <w:color w:val="8A3F1E"/>
          <w:sz w:val="20"/>
        </w:rPr>
        <w:t>shape</w:t>
      </w:r>
      <w:r>
        <w:t xml:space="preserve"> boolean; the only difference between the two functions is which sign of </w:t>
      </w:r>
      <w:r>
        <w:rPr>
          <w:rFonts w:ascii="Consolas" w:hAnsi="Consolas"/>
          <w:color w:val="8A3F1E"/>
          <w:sz w:val="20"/>
        </w:rPr>
        <w:t>.candle.priorTrend</w:t>
      </w:r>
      <w:r>
        <w:t xml:space="preserve"> each requires. </w:t>
      </w:r>
      <w:r>
        <w:rPr>
          <w:rFonts w:ascii="Consolas" w:hAnsi="Consolas"/>
          <w:color w:val="8A3F1E"/>
          <w:sz w:val="20"/>
        </w:rPr>
        <w:t>.candle.priorTrend</w:t>
      </w:r>
      <w:r>
        <w:t xml:space="preserve"> is deliberately a plain, standard trend measure — the close immediately preceding the candle under test, compared against a short trailing SMA of closes also ending at that prior candle — rather than an unpublished TA-Lib internal formula, and it is lagged by construction: the candle under test can never bias its own trend context, and an instrument's first few bars (insufficient history for the SMA) evaluate to trend </w:t>
      </w:r>
      <w:r>
        <w:rPr>
          <w:rFonts w:ascii="Consolas" w:hAnsi="Consolas"/>
          <w:color w:val="8A3F1E"/>
          <w:sz w:val="20"/>
        </w:rPr>
        <w:t>0</w:t>
      </w:r>
      <w:r>
        <w:t>, so neither pattern fires by default in that region. This is the section's central claim in compressed form: a hammer is a statement about geometry; its direction is a statement about context; conflating the two was exactly the defect that shipped first.</w:t>
      </w:r>
    </w:p>
    <w:p w14:paraId="39EA4FA4" w14:textId="77777777" w:rsidR="007C5F34" w:rsidRDefault="007C5F34" w:rsidP="007C5F34">
      <w:pPr>
        <w:spacing w:after="0" w:line="240" w:lineRule="auto"/>
        <w:rPr>
          <w:b/>
          <w:color w:val="2F5F8A"/>
          <w:sz w:val="30"/>
        </w:rPr>
      </w:pPr>
    </w:p>
    <w:p w14:paraId="6CFE0E35" w14:textId="77777777" w:rsidR="00FC4CD9" w:rsidRDefault="00000000" w:rsidP="007C5F34">
      <w:pPr>
        <w:spacing w:after="0" w:line="240" w:lineRule="auto"/>
      </w:pPr>
      <w:r>
        <w:rPr>
          <w:b/>
          <w:color w:val="2F5F8A"/>
          <w:sz w:val="30"/>
        </w:rPr>
        <w:t>3. Porting to a Constrained q Build: Platform-Specific Defects</w:t>
      </w:r>
    </w:p>
    <w:p w14:paraId="6973F9F8" w14:textId="77777777" w:rsidR="00FC4CD9" w:rsidRDefault="00000000" w:rsidP="007C5F34">
      <w:pPr>
        <w:spacing w:after="0" w:line="240" w:lineRule="auto"/>
      </w:pPr>
      <w:r>
        <w:rPr>
          <w:rFonts w:ascii="Consolas" w:hAnsi="Consolas"/>
          <w:color w:val="8A3F1E"/>
          <w:sz w:val="20"/>
        </w:rPr>
        <w:lastRenderedPageBreak/>
        <w:t>candle.q</w:t>
      </w:r>
      <w:r>
        <w:t xml:space="preserve">'s own header documents eleven distinct categories of defects found porting the upstream </w:t>
      </w:r>
      <w:r>
        <w:rPr>
          <w:rFonts w:ascii="Consolas" w:hAnsi="Consolas"/>
          <w:color w:val="8A3F1E"/>
          <w:sz w:val="20"/>
        </w:rPr>
        <w:t>kdb_candle</w:t>
      </w:r>
      <w:r>
        <w:t xml:space="preserve"> project to this build — none concerning candlestick theory, all concerning this build's own runtime behavior. Three are presented here as representative cases.</w:t>
      </w:r>
    </w:p>
    <w:p w14:paraId="21497C88" w14:textId="77777777" w:rsidR="00FC4CD9" w:rsidRDefault="00000000" w:rsidP="007C5F34">
      <w:pPr>
        <w:spacing w:after="0" w:line="240" w:lineRule="auto"/>
      </w:pPr>
      <w:r>
        <w:rPr>
          <w:b/>
        </w:rPr>
        <w:t>Defect class 1 — `where`-clause column scoping.</w:t>
      </w:r>
    </w:p>
    <w:p w14:paraId="1B3B344A" w14:textId="77777777" w:rsidR="00FC4CD9" w:rsidRDefault="00000000" w:rsidP="007C5F34">
      <w:pPr>
        <w:spacing w:after="0" w:line="240" w:lineRule="auto"/>
        <w:jc w:val="center"/>
      </w:pPr>
      <w:r>
        <w:rPr>
          <w:noProof/>
        </w:rPr>
        <w:drawing>
          <wp:inline distT="0" distB="0" distL="0" distR="0" wp14:anchorId="23176707" wp14:editId="53D83BF4">
            <wp:extent cx="4403187" cy="18991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where-bug.png"/>
                    <pic:cNvPicPr/>
                  </pic:nvPicPr>
                  <pic:blipFill>
                    <a:blip r:embed="rId16"/>
                    <a:stretch>
                      <a:fillRect/>
                    </a:stretch>
                  </pic:blipFill>
                  <pic:spPr>
                    <a:xfrm>
                      <a:off x="0" y="0"/>
                      <a:ext cx="4403187" cy="1899138"/>
                    </a:xfrm>
                    <a:prstGeom prst="rect">
                      <a:avLst/>
                    </a:prstGeom>
                  </pic:spPr>
                </pic:pic>
              </a:graphicData>
            </a:graphic>
          </wp:inline>
        </w:drawing>
      </w:r>
    </w:p>
    <w:p w14:paraId="4951CE47" w14:textId="77777777" w:rsidR="00FC4CD9" w:rsidRDefault="00000000" w:rsidP="007C5F34">
      <w:pPr>
        <w:spacing w:after="0" w:line="240" w:lineRule="auto"/>
        <w:jc w:val="center"/>
      </w:pPr>
      <w:r>
        <w:rPr>
          <w:i/>
          <w:color w:val="5A6A72"/>
          <w:sz w:val="18"/>
        </w:rPr>
        <w:t>A where clause can only filter a real column, not an outer free variable</w:t>
      </w:r>
    </w:p>
    <w:p w14:paraId="62635A00" w14:textId="77777777" w:rsidR="00FC4CD9" w:rsidRDefault="00000000" w:rsidP="007C5F34">
      <w:pPr>
        <w:spacing w:after="0" w:line="240" w:lineRule="auto"/>
        <w:jc w:val="center"/>
      </w:pPr>
      <w:r>
        <w:rPr>
          <w:noProof/>
        </w:rPr>
        <w:drawing>
          <wp:inline distT="0" distB="0" distL="0" distR="0" wp14:anchorId="2980D343" wp14:editId="4E358017">
            <wp:extent cx="5852160" cy="14762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05_where-bug.png"/>
                    <pic:cNvPicPr/>
                  </pic:nvPicPr>
                  <pic:blipFill>
                    <a:blip r:embed="rId17"/>
                    <a:stretch>
                      <a:fillRect/>
                    </a:stretch>
                  </pic:blipFill>
                  <pic:spPr>
                    <a:xfrm>
                      <a:off x="0" y="0"/>
                      <a:ext cx="5852160" cy="1476221"/>
                    </a:xfrm>
                    <a:prstGeom prst="rect">
                      <a:avLst/>
                    </a:prstGeom>
                  </pic:spPr>
                </pic:pic>
              </a:graphicData>
            </a:graphic>
          </wp:inline>
        </w:drawing>
      </w:r>
    </w:p>
    <w:p w14:paraId="18809489" w14:textId="77777777" w:rsidR="00FC4CD9" w:rsidRDefault="00FC4CD9" w:rsidP="007C5F34">
      <w:pPr>
        <w:spacing w:after="0" w:line="240" w:lineRule="auto"/>
      </w:pPr>
    </w:p>
    <w:p w14:paraId="17CEF9C7" w14:textId="77777777" w:rsidR="007C5F34" w:rsidRDefault="007C5F34" w:rsidP="007C5F34">
      <w:pPr>
        <w:spacing w:after="0" w:line="240" w:lineRule="auto"/>
      </w:pPr>
    </w:p>
    <w:p w14:paraId="7A510EFF" w14:textId="77777777" w:rsidR="00FC4CD9" w:rsidRDefault="00000000" w:rsidP="007C5F34">
      <w:pPr>
        <w:spacing w:after="0" w:line="240" w:lineRule="auto"/>
      </w:pPr>
      <w:proofErr w:type="gramStart"/>
      <w:r>
        <w:t xml:space="preserve">A </w:t>
      </w:r>
      <w:r>
        <w:rPr>
          <w:rFonts w:ascii="Consolas" w:hAnsi="Consolas"/>
          <w:color w:val="8A3F1E"/>
          <w:sz w:val="20"/>
        </w:rPr>
        <w:t>where</w:t>
      </w:r>
      <w:proofErr w:type="gramEnd"/>
      <w:r>
        <w:t xml:space="preserve"> clause can only filter a column that genuinely exists in the table being selected from. A same-length free variable that merely resembles a valid predicate throws </w:t>
      </w:r>
      <w:r>
        <w:rPr>
          <w:rFonts w:ascii="Consolas" w:hAnsi="Consolas"/>
          <w:color w:val="8A3F1E"/>
          <w:sz w:val="20"/>
        </w:rPr>
        <w:t>'length</w:t>
      </w:r>
      <w:r>
        <w:t xml:space="preserve"> rather than filtering correctly, and the resolution is mechanical once the underlying rule is known — bind the value into the table literal as a real column before filtering on it — but the error message gives no indication that column membership, not length, is the actual constraint being violated.</w:t>
      </w:r>
    </w:p>
    <w:p w14:paraId="12B94653" w14:textId="77777777" w:rsidR="00FC4CD9" w:rsidRDefault="00000000" w:rsidP="007C5F34">
      <w:pPr>
        <w:spacing w:after="0" w:line="240" w:lineRule="auto"/>
      </w:pPr>
      <w:r>
        <w:rPr>
          <w:b/>
        </w:rPr>
        <w:t>Defect class 2 — closure scoping under `each`.</w:t>
      </w:r>
    </w:p>
    <w:p w14:paraId="68CB9107" w14:textId="77777777" w:rsidR="00FC4CD9" w:rsidRDefault="00000000" w:rsidP="007C5F34">
      <w:pPr>
        <w:spacing w:after="0" w:line="240" w:lineRule="auto"/>
        <w:jc w:val="center"/>
      </w:pPr>
      <w:r>
        <w:rPr>
          <w:noProof/>
        </w:rPr>
        <w:drawing>
          <wp:inline distT="0" distB="0" distL="0" distR="0" wp14:anchorId="757FC885" wp14:editId="423C922C">
            <wp:extent cx="4811150" cy="189913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06_nested-lambda-bug.png"/>
                    <pic:cNvPicPr/>
                  </pic:nvPicPr>
                  <pic:blipFill>
                    <a:blip r:embed="rId18"/>
                    <a:stretch>
                      <a:fillRect/>
                    </a:stretch>
                  </pic:blipFill>
                  <pic:spPr>
                    <a:xfrm>
                      <a:off x="0" y="0"/>
                      <a:ext cx="4811150" cy="1899138"/>
                    </a:xfrm>
                    <a:prstGeom prst="rect">
                      <a:avLst/>
                    </a:prstGeom>
                  </pic:spPr>
                </pic:pic>
              </a:graphicData>
            </a:graphic>
          </wp:inline>
        </w:drawing>
      </w:r>
    </w:p>
    <w:p w14:paraId="6487A031" w14:textId="77777777" w:rsidR="00FC4CD9" w:rsidRDefault="00FC4CD9" w:rsidP="007C5F34">
      <w:pPr>
        <w:spacing w:after="0" w:line="240" w:lineRule="auto"/>
      </w:pPr>
    </w:p>
    <w:p w14:paraId="42197229" w14:textId="77777777" w:rsidR="00FC4CD9" w:rsidRDefault="00000000" w:rsidP="007C5F34">
      <w:pPr>
        <w:spacing w:after="0" w:line="240" w:lineRule="auto"/>
      </w:pPr>
      <w:r>
        <w:rPr>
          <w:rFonts w:ascii="Consolas" w:hAnsi="Consolas"/>
          <w:color w:val="8A3F1E"/>
          <w:sz w:val="20"/>
        </w:rPr>
        <w:t>.candle.signals</w:t>
      </w:r>
      <w:r>
        <w:t xml:space="preserve"> originally accumulated results into an outer </w:t>
      </w:r>
      <w:r>
        <w:rPr>
          <w:rFonts w:ascii="Consolas" w:hAnsi="Consolas"/>
          <w:color w:val="8A3F1E"/>
          <w:sz w:val="20"/>
        </w:rPr>
        <w:t>out</w:t>
      </w:r>
      <w:r>
        <w:t xml:space="preserve"> local from within the lambda passed to </w:t>
      </w:r>
      <w:r>
        <w:rPr>
          <w:rFonts w:ascii="Consolas" w:hAnsi="Consolas"/>
          <w:color w:val="8A3F1E"/>
          <w:sz w:val="20"/>
        </w:rPr>
        <w:t>each</w:t>
      </w:r>
      <w:r>
        <w:t xml:space="preserve">. This is a silent defect rather than a thrown one: a nested lambda in this build can see only globals and its own parameters, never an enclosing function's locals, so the mutation landed on an unrelated global also named </w:t>
      </w:r>
      <w:r>
        <w:rPr>
          <w:rFonts w:ascii="Consolas" w:hAnsi="Consolas"/>
          <w:color w:val="8A3F1E"/>
          <w:sz w:val="20"/>
        </w:rPr>
        <w:t>out</w:t>
      </w:r>
      <w:r>
        <w:t xml:space="preserve">, and the function's actual </w:t>
      </w:r>
      <w:r>
        <w:rPr>
          <w:rFonts w:ascii="Consolas" w:hAnsi="Consolas"/>
          <w:color w:val="8A3F1E"/>
          <w:sz w:val="20"/>
        </w:rPr>
        <w:t>out</w:t>
      </w:r>
      <w:r>
        <w:t xml:space="preserve"> local remained empty indefinitely — no error raised, only a </w:t>
      </w:r>
      <w:r>
        <w:lastRenderedPageBreak/>
        <w:t xml:space="preserve">consistently empty result. The fix curries </w:t>
      </w:r>
      <w:r>
        <w:rPr>
          <w:rFonts w:ascii="Consolas" w:hAnsi="Consolas"/>
          <w:color w:val="8A3F1E"/>
          <w:sz w:val="20"/>
        </w:rPr>
        <w:t>t</w:t>
      </w:r>
      <w:r>
        <w:t>/</w:t>
      </w:r>
      <w:r>
        <w:rPr>
          <w:rFonts w:ascii="Consolas" w:hAnsi="Consolas"/>
          <w:color w:val="8A3F1E"/>
          <w:sz w:val="20"/>
        </w:rPr>
        <w:t>keyCols</w:t>
      </w:r>
      <w:r>
        <w:t xml:space="preserve"> in as explicit parameters rather than relying on closure capture, and lets </w:t>
      </w:r>
      <w:r>
        <w:rPr>
          <w:rFonts w:ascii="Consolas" w:hAnsi="Consolas"/>
          <w:color w:val="8A3F1E"/>
          <w:sz w:val="20"/>
        </w:rPr>
        <w:t>where signal&lt;&gt;0</w:t>
      </w:r>
      <w:r>
        <w:t xml:space="preserve"> perform the per-pattern "only if fired" filtering.</w:t>
      </w:r>
    </w:p>
    <w:p w14:paraId="653D5A1F" w14:textId="77777777" w:rsidR="00FC4CD9" w:rsidRDefault="00000000" w:rsidP="007C5F34">
      <w:pPr>
        <w:spacing w:after="0" w:line="240" w:lineRule="auto"/>
      </w:pPr>
      <w:r>
        <w:rPr>
          <w:b/>
        </w:rPr>
        <w:t>Defect class 3 — dyadic `max`/`min`.</w:t>
      </w:r>
    </w:p>
    <w:p w14:paraId="7DB73F2F" w14:textId="77777777" w:rsidR="00FC4CD9" w:rsidRDefault="00000000" w:rsidP="007C5F34">
      <w:pPr>
        <w:spacing w:after="0" w:line="240" w:lineRule="auto"/>
        <w:jc w:val="center"/>
      </w:pPr>
      <w:r>
        <w:rPr>
          <w:noProof/>
        </w:rPr>
        <w:drawing>
          <wp:inline distT="0" distB="0" distL="0" distR="0" wp14:anchorId="28C08591" wp14:editId="7CD0CE82">
            <wp:extent cx="4403187" cy="14067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07_maxmin-bug.png"/>
                    <pic:cNvPicPr/>
                  </pic:nvPicPr>
                  <pic:blipFill>
                    <a:blip r:embed="rId19"/>
                    <a:stretch>
                      <a:fillRect/>
                    </a:stretch>
                  </pic:blipFill>
                  <pic:spPr>
                    <a:xfrm>
                      <a:off x="0" y="0"/>
                      <a:ext cx="4403187" cy="1406769"/>
                    </a:xfrm>
                    <a:prstGeom prst="rect">
                      <a:avLst/>
                    </a:prstGeom>
                  </pic:spPr>
                </pic:pic>
              </a:graphicData>
            </a:graphic>
          </wp:inline>
        </w:drawing>
      </w:r>
    </w:p>
    <w:p w14:paraId="79FFEBCD" w14:textId="77777777" w:rsidR="00FC4CD9" w:rsidRDefault="00FC4CD9" w:rsidP="007C5F34">
      <w:pPr>
        <w:spacing w:after="0" w:line="240" w:lineRule="auto"/>
      </w:pPr>
    </w:p>
    <w:p w14:paraId="6A060FE1" w14:textId="77777777" w:rsidR="00FC4CD9" w:rsidRDefault="00000000" w:rsidP="007C5F34">
      <w:pPr>
        <w:spacing w:after="0" w:line="240" w:lineRule="auto"/>
      </w:pPr>
      <w:r>
        <w:t xml:space="preserve">The simplest defect to state and the most tedious to remediate: dyadic </w:t>
      </w:r>
      <w:r>
        <w:rPr>
          <w:rFonts w:ascii="Consolas" w:hAnsi="Consolas"/>
          <w:color w:val="8A3F1E"/>
          <w:sz w:val="20"/>
        </w:rPr>
        <w:t>max</w:t>
      </w:r>
      <w:r>
        <w:t>/</w:t>
      </w:r>
      <w:r>
        <w:rPr>
          <w:rFonts w:ascii="Consolas" w:hAnsi="Consolas"/>
          <w:color w:val="8A3F1E"/>
          <w:sz w:val="20"/>
        </w:rPr>
        <w:t>min</w:t>
      </w:r>
      <w:r>
        <w:t xml:space="preserve"> do not function in either calling convention on this build. Every </w:t>
      </w:r>
      <w:r>
        <w:rPr>
          <w:rFonts w:ascii="Consolas" w:hAnsi="Consolas"/>
          <w:color w:val="8A3F1E"/>
          <w:sz w:val="20"/>
        </w:rPr>
        <w:t>max[a;b]</w:t>
      </w:r>
      <w:r>
        <w:t>/</w:t>
      </w:r>
      <w:r>
        <w:rPr>
          <w:rFonts w:ascii="Consolas" w:hAnsi="Consolas"/>
          <w:color w:val="8A3F1E"/>
          <w:sz w:val="20"/>
        </w:rPr>
        <w:t>min[a;b]</w:t>
      </w:r>
      <w:r>
        <w:t xml:space="preserve"> across all 32 patterns was rewritten as </w:t>
      </w:r>
      <w:r>
        <w:rPr>
          <w:rFonts w:ascii="Consolas" w:hAnsi="Consolas"/>
          <w:color w:val="8A3F1E"/>
          <w:sz w:val="20"/>
        </w:rPr>
        <w:t>a|b</w:t>
      </w:r>
      <w:r>
        <w:t>/</w:t>
      </w:r>
      <w:r>
        <w:rPr>
          <w:rFonts w:ascii="Consolas" w:hAnsi="Consolas"/>
          <w:color w:val="8A3F1E"/>
          <w:sz w:val="20"/>
        </w:rPr>
        <w:t>a&amp;b</w:t>
      </w:r>
      <w:r>
        <w:t xml:space="preserve"> — q's own overloaded max/min operators, which do function correctly — a mechanical but file-spanning change. All three defect classes share a common lesson: none reflect incorrect mathematics, and each was identified by loading the source incrementally and reproducing the failure minimally, rather than by reading the upstream source and inferring what a different build might do differently.</w:t>
      </w:r>
    </w:p>
    <w:p w14:paraId="059C270C" w14:textId="77777777" w:rsidR="007C5F34" w:rsidRDefault="007C5F34" w:rsidP="007C5F34">
      <w:pPr>
        <w:spacing w:after="0" w:line="240" w:lineRule="auto"/>
        <w:rPr>
          <w:b/>
          <w:color w:val="2F5F8A"/>
          <w:sz w:val="30"/>
        </w:rPr>
      </w:pPr>
    </w:p>
    <w:p w14:paraId="5292B7F2" w14:textId="77777777" w:rsidR="00FC4CD9" w:rsidRDefault="00000000" w:rsidP="007C5F34">
      <w:pPr>
        <w:spacing w:after="0" w:line="240" w:lineRule="auto"/>
      </w:pPr>
      <w:r>
        <w:rPr>
          <w:b/>
          <w:color w:val="2F5F8A"/>
          <w:sz w:val="30"/>
        </w:rPr>
        <w:t>4. Empirical Verification</w:t>
      </w:r>
    </w:p>
    <w:p w14:paraId="61A7AEC8" w14:textId="77777777" w:rsidR="00FC4CD9" w:rsidRDefault="00000000" w:rsidP="007C5F34">
      <w:pPr>
        <w:spacing w:after="0" w:line="240" w:lineRule="auto"/>
      </w:pPr>
      <w:r>
        <w:t>### 4.1 Methodology</w:t>
      </w:r>
    </w:p>
    <w:p w14:paraId="78E90FC3" w14:textId="77777777" w:rsidR="00FC4CD9" w:rsidRDefault="00000000" w:rsidP="007C5F34">
      <w:pPr>
        <w:spacing w:after="0" w:line="240" w:lineRule="auto"/>
      </w:pPr>
      <w:r>
        <w:t xml:space="preserve">The referenced analysis makes a checkable claim of a specific, falsifiable form: one pattern, one real crash, one specific date. The methodologically appropriate way to validate this port is therefore not to rely on the existing 32-pattern smoke test in isolation, but to run an equivalent check against real data and report what is actually returned. This study pulled real AAPL daily bars from openQ's own </w:t>
      </w:r>
      <w:r>
        <w:rPr>
          <w:rFonts w:ascii="Consolas" w:hAnsi="Consolas"/>
          <w:color w:val="8A3F1E"/>
          <w:sz w:val="20"/>
        </w:rPr>
        <w:t>eq_hdb</w:t>
      </w:r>
      <w:r>
        <w:t xml:space="preserve"> (the same yfinance-ingested equity archive the </w:t>
      </w:r>
      <w:r>
        <w:rPr>
          <w:rFonts w:ascii="Consolas" w:hAnsi="Consolas"/>
          <w:color w:val="8A3F1E"/>
          <w:sz w:val="20"/>
        </w:rPr>
        <w:t>primeFinance</w:t>
      </w:r>
      <w:r>
        <w:t xml:space="preserve"> article draws from) for January–August 2020 — the identical window used in the referenced analysis for the S&amp;P 500 — and ran </w:t>
      </w:r>
      <w:r>
        <w:rPr>
          <w:rFonts w:ascii="Consolas" w:hAnsi="Consolas"/>
          <w:color w:val="8A3F1E"/>
          <w:sz w:val="20"/>
        </w:rPr>
        <w:t>.candle.hammer</w:t>
      </w:r>
      <w:r>
        <w:t xml:space="preserve"> and </w:t>
      </w:r>
      <w:r>
        <w:rPr>
          <w:rFonts w:ascii="Consolas" w:hAnsi="Consolas"/>
          <w:color w:val="8A3F1E"/>
          <w:sz w:val="20"/>
        </w:rPr>
        <w:t>.candle.morningStar</w:t>
      </w:r>
      <w:r>
        <w:t xml:space="preserve"> against it directly:</w:t>
      </w:r>
    </w:p>
    <w:p w14:paraId="200E9544" w14:textId="77777777" w:rsidR="00FC4CD9" w:rsidRDefault="00000000" w:rsidP="007C5F34">
      <w:pPr>
        <w:spacing w:after="0" w:line="240" w:lineRule="auto"/>
        <w:jc w:val="center"/>
      </w:pPr>
      <w:r>
        <w:rPr>
          <w:noProof/>
        </w:rPr>
        <w:drawing>
          <wp:inline distT="0" distB="0" distL="0" distR="0" wp14:anchorId="718F5253" wp14:editId="22563928">
            <wp:extent cx="3137095" cy="24055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08_verify-bars.png"/>
                    <pic:cNvPicPr/>
                  </pic:nvPicPr>
                  <pic:blipFill>
                    <a:blip r:embed="rId20"/>
                    <a:stretch>
                      <a:fillRect/>
                    </a:stretch>
                  </pic:blipFill>
                  <pic:spPr>
                    <a:xfrm>
                      <a:off x="0" y="0"/>
                      <a:ext cx="3137095" cy="2405575"/>
                    </a:xfrm>
                    <a:prstGeom prst="rect">
                      <a:avLst/>
                    </a:prstGeom>
                  </pic:spPr>
                </pic:pic>
              </a:graphicData>
            </a:graphic>
          </wp:inline>
        </w:drawing>
      </w:r>
    </w:p>
    <w:p w14:paraId="6A811B0E" w14:textId="77777777" w:rsidR="00FC4CD9" w:rsidRDefault="00FC4CD9" w:rsidP="007C5F34">
      <w:pPr>
        <w:spacing w:after="0" w:line="240" w:lineRule="auto"/>
      </w:pPr>
    </w:p>
    <w:p w14:paraId="75F7E19E" w14:textId="77777777" w:rsidR="00FC4CD9" w:rsidRDefault="00000000" w:rsidP="007C5F34">
      <w:pPr>
        <w:spacing w:after="0" w:line="240" w:lineRule="auto"/>
      </w:pPr>
      <w:r>
        <w:rPr>
          <w:rFonts w:ascii="Consolas" w:hAnsi="Consolas"/>
          <w:color w:val="8A3F1E"/>
          <w:sz w:val="20"/>
        </w:rPr>
        <w:t>.candle.hammer</w:t>
      </w:r>
      <w:r>
        <w:t xml:space="preserve"> fires on exactly one date in this seven-month window:</w:t>
      </w:r>
    </w:p>
    <w:p w14:paraId="41975C11" w14:textId="77777777" w:rsidR="00FC4CD9" w:rsidRDefault="00000000" w:rsidP="007C5F34">
      <w:pPr>
        <w:spacing w:after="0" w:line="240" w:lineRule="auto"/>
      </w:pPr>
      <w:r>
        <w:rPr>
          <w:b/>
        </w:rPr>
        <w:t>2020.03.23</w:t>
      </w:r>
      <w:r>
        <w:t xml:space="preserve"> — the real closing low itself, a long lower shadow on the worst day of the crash, precisely the shape the pattern is defined to detect. </w:t>
      </w:r>
      <w:r>
        <w:rPr>
          <w:rFonts w:ascii="Consolas" w:hAnsi="Consolas"/>
          <w:color w:val="8A3F1E"/>
          <w:sz w:val="20"/>
        </w:rPr>
        <w:t>.candle.morningStar</w:t>
      </w:r>
      <w:r>
        <w:t xml:space="preserve"> fires five times across the same window (01.16, 02.04, 03.24, 04.30, 06.15) — not rare in this instance — but one of the five is </w:t>
      </w:r>
      <w:r>
        <w:rPr>
          <w:b/>
        </w:rPr>
        <w:t>2020.03.24</w:t>
      </w:r>
      <w:r>
        <w:t xml:space="preserve">, the session immediately following the hammer, AAPL's first significant rebound day. This reproduces the pairing structure of the referenced analysis (a morning star, then a confirming engulfing pattern days later) with the </w:t>
      </w:r>
      <w:r>
        <w:lastRenderedPageBreak/>
        <w:t>two signals in reversed order: here a hammer marks the bottom bar itself, and a morning star confirms completion one session later. One distinction from the referenced result is worth stating precisely: the morning star in the source analysis was a single hit within its window, making it strong standalone evidence on the S&amp;P 500; AAPL's five morning-star hits make this particular signal comparatively weak evidence in isolation here — it is the hammer landing exactly on the low bar, and the two signals agreeing on adjacent bars, that makes the pairing convincing, not the morning star alone. No value reported here was selected after the fact; the query that produced them is reproduced above in full and returns exactly these rows in the requested window.</w:t>
      </w:r>
    </w:p>
    <w:p w14:paraId="66B3C0C7" w14:textId="77777777" w:rsidR="00FC4CD9" w:rsidRDefault="00000000" w:rsidP="007C5F34">
      <w:pPr>
        <w:spacing w:after="0" w:line="240" w:lineRule="auto"/>
        <w:jc w:val="center"/>
      </w:pPr>
      <w:r>
        <w:rPr>
          <w:noProof/>
        </w:rPr>
        <w:drawing>
          <wp:inline distT="0" distB="0" distL="0" distR="0" wp14:anchorId="60DB88DF" wp14:editId="611ECEF1">
            <wp:extent cx="5852160" cy="262623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ication.png"/>
                    <pic:cNvPicPr/>
                  </pic:nvPicPr>
                  <pic:blipFill>
                    <a:blip r:embed="rId21"/>
                    <a:stretch>
                      <a:fillRect/>
                    </a:stretch>
                  </pic:blipFill>
                  <pic:spPr>
                    <a:xfrm>
                      <a:off x="0" y="0"/>
                      <a:ext cx="5852160" cy="2626234"/>
                    </a:xfrm>
                    <a:prstGeom prst="rect">
                      <a:avLst/>
                    </a:prstGeom>
                  </pic:spPr>
                </pic:pic>
              </a:graphicData>
            </a:graphic>
          </wp:inline>
        </w:drawing>
      </w:r>
    </w:p>
    <w:p w14:paraId="18F792DF" w14:textId="77777777" w:rsidR="00FC4CD9" w:rsidRDefault="00000000" w:rsidP="007C5F34">
      <w:pPr>
        <w:spacing w:after="0" w:line="240" w:lineRule="auto"/>
        <w:jc w:val="center"/>
      </w:pPr>
      <w:r>
        <w:rPr>
          <w:i/>
          <w:color w:val="5A6A72"/>
          <w:sz w:val="18"/>
        </w:rPr>
        <w:t>AAPL, real 2020 bars — hammer on the low, morning star the next session</w:t>
      </w:r>
    </w:p>
    <w:p w14:paraId="6CCA4329" w14:textId="77777777" w:rsidR="007C5F34" w:rsidRDefault="007C5F34" w:rsidP="007C5F34">
      <w:pPr>
        <w:spacing w:after="0" w:line="240" w:lineRule="auto"/>
      </w:pPr>
    </w:p>
    <w:p w14:paraId="307421C0" w14:textId="77777777" w:rsidR="00952D2F" w:rsidRDefault="00952D2F" w:rsidP="007C5F34">
      <w:pPr>
        <w:spacing w:after="0" w:line="240" w:lineRule="auto"/>
      </w:pPr>
    </w:p>
    <w:p w14:paraId="267F670B" w14:textId="08689DA3" w:rsidR="00FC4CD9" w:rsidRDefault="00000000" w:rsidP="007C5F34">
      <w:pPr>
        <w:spacing w:after="0" w:line="240" w:lineRule="auto"/>
      </w:pPr>
      <w:r>
        <w:t>### 4.2 Cross-Sectional Extension: Does the Single-Instrument Result Generalize</w:t>
      </w:r>
    </w:p>
    <w:p w14:paraId="00A0E140" w14:textId="77777777" w:rsidR="00FC4CD9" w:rsidRDefault="00000000" w:rsidP="007C5F34">
      <w:pPr>
        <w:spacing w:after="0" w:line="240" w:lineRule="auto"/>
      </w:pPr>
      <w:r>
        <w:t>A result this clean on a single instrument warrants a test of whether it is representative or coincidental. This study extended the same 2019–2020 daily-bar query to five additional major technology issuers (</w:t>
      </w:r>
      <w:r>
        <w:rPr>
          <w:rFonts w:ascii="Consolas" w:hAnsi="Consolas"/>
          <w:color w:val="8A3F1E"/>
          <w:sz w:val="20"/>
        </w:rPr>
        <w:t>MSFT</w:t>
      </w:r>
      <w:r>
        <w:t xml:space="preserve">, </w:t>
      </w:r>
      <w:r>
        <w:rPr>
          <w:rFonts w:ascii="Consolas" w:hAnsi="Consolas"/>
          <w:color w:val="8A3F1E"/>
          <w:sz w:val="20"/>
        </w:rPr>
        <w:t>GOOGL</w:t>
      </w:r>
      <w:r>
        <w:t xml:space="preserve">, </w:t>
      </w:r>
      <w:r>
        <w:rPr>
          <w:rFonts w:ascii="Consolas" w:hAnsi="Consolas"/>
          <w:color w:val="8A3F1E"/>
          <w:sz w:val="20"/>
        </w:rPr>
        <w:t>AMZN</w:t>
      </w:r>
      <w:r>
        <w:t xml:space="preserve">, </w:t>
      </w:r>
      <w:r>
        <w:rPr>
          <w:rFonts w:ascii="Consolas" w:hAnsi="Consolas"/>
          <w:color w:val="8A3F1E"/>
          <w:sz w:val="20"/>
        </w:rPr>
        <w:t>NVDA</w:t>
      </w:r>
      <w:r>
        <w:t xml:space="preserve">, </w:t>
      </w:r>
      <w:r>
        <w:rPr>
          <w:rFonts w:ascii="Consolas" w:hAnsi="Consolas"/>
          <w:color w:val="8A3F1E"/>
          <w:sz w:val="20"/>
        </w:rPr>
        <w:t>TSLA</w:t>
      </w:r>
      <w:r>
        <w:t xml:space="preserve">), identified each issuer's own realized closing low within the February–April 2020 crash window, and ran the complete 32-pattern library — not only </w:t>
      </w:r>
      <w:r>
        <w:rPr>
          <w:rFonts w:ascii="Consolas" w:hAnsi="Consolas"/>
          <w:color w:val="8A3F1E"/>
          <w:sz w:val="20"/>
        </w:rPr>
        <w:t>hammer</w:t>
      </w:r>
      <w:r>
        <w:t>/</w:t>
      </w:r>
      <w:r>
        <w:rPr>
          <w:rFonts w:ascii="Consolas" w:hAnsi="Consolas"/>
          <w:color w:val="8A3F1E"/>
          <w:sz w:val="20"/>
        </w:rPr>
        <w:t>morningStar</w:t>
      </w:r>
      <w:r>
        <w:t xml:space="preserve"> — against the seven trading sessions on either side of that low:</w:t>
      </w:r>
    </w:p>
    <w:p w14:paraId="36EDF5F8" w14:textId="77777777" w:rsidR="00FC4CD9" w:rsidRDefault="00000000" w:rsidP="007C5F34">
      <w:pPr>
        <w:spacing w:after="0" w:line="240" w:lineRule="auto"/>
        <w:jc w:val="center"/>
      </w:pPr>
      <w:r>
        <w:rPr>
          <w:noProof/>
        </w:rPr>
        <w:drawing>
          <wp:inline distT="0" distB="0" distL="0" distR="0" wp14:anchorId="75F5DE05" wp14:editId="74536A49">
            <wp:extent cx="5852160" cy="203688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stock.png"/>
                    <pic:cNvPicPr/>
                  </pic:nvPicPr>
                  <pic:blipFill>
                    <a:blip r:embed="rId22"/>
                    <a:stretch>
                      <a:fillRect/>
                    </a:stretch>
                  </pic:blipFill>
                  <pic:spPr>
                    <a:xfrm>
                      <a:off x="0" y="0"/>
                      <a:ext cx="5852160" cy="2036883"/>
                    </a:xfrm>
                    <a:prstGeom prst="rect">
                      <a:avLst/>
                    </a:prstGeom>
                  </pic:spPr>
                </pic:pic>
              </a:graphicData>
            </a:graphic>
          </wp:inline>
        </w:drawing>
      </w:r>
    </w:p>
    <w:p w14:paraId="6201FAE4" w14:textId="77777777" w:rsidR="00FC4CD9" w:rsidRDefault="00000000" w:rsidP="007C5F34">
      <w:pPr>
        <w:spacing w:after="0" w:line="240" w:lineRule="auto"/>
        <w:jc w:val="center"/>
      </w:pPr>
      <w:r>
        <w:rPr>
          <w:i/>
          <w:color w:val="5A6A72"/>
          <w:sz w:val="18"/>
        </w:rPr>
        <w:t>Every pattern that fired within a week of each stock's own real 2020 low</w:t>
      </w:r>
    </w:p>
    <w:p w14:paraId="693C3E63" w14:textId="77777777" w:rsidR="00FC4CD9" w:rsidRDefault="00FC4CD9" w:rsidP="007C5F34">
      <w:pPr>
        <w:spacing w:after="0" w:line="240" w:lineRule="auto"/>
      </w:pPr>
    </w:p>
    <w:p w14:paraId="47325A5F" w14:textId="77777777" w:rsidR="00FC4CD9" w:rsidRDefault="00000000" w:rsidP="007C5F34">
      <w:pPr>
        <w:spacing w:after="0" w:line="240" w:lineRule="auto"/>
      </w:pPr>
      <w:r>
        <w:t xml:space="preserve">AAPL is the exception in this sample, not the norm. Of six major technology issuers, exactly one produced a correctly-directional reversal call at its own realized bottom. Two issuers — </w:t>
      </w:r>
      <w:r>
        <w:rPr>
          <w:rFonts w:ascii="Consolas" w:hAnsi="Consolas"/>
          <w:color w:val="8A3F1E"/>
          <w:sz w:val="20"/>
        </w:rPr>
        <w:t>MSFT</w:t>
      </w:r>
      <w:r>
        <w:t xml:space="preserve"> and </w:t>
      </w:r>
      <w:r>
        <w:rPr>
          <w:rFonts w:ascii="Consolas" w:hAnsi="Consolas"/>
          <w:color w:val="8A3F1E"/>
          <w:sz w:val="20"/>
        </w:rPr>
        <w:t>NVDA</w:t>
      </w:r>
      <w:r>
        <w:t xml:space="preserve"> — had </w:t>
      </w:r>
      <w:r>
        <w:rPr>
          <w:rFonts w:ascii="Consolas" w:hAnsi="Consolas"/>
          <w:color w:val="8A3F1E"/>
          <w:sz w:val="20"/>
        </w:rPr>
        <w:t>kicking</w:t>
      </w:r>
      <w:r>
        <w:t xml:space="preserve"> fire </w:t>
      </w:r>
      <w:r>
        <w:rPr>
          <w:i/>
        </w:rPr>
        <w:t>bearish</w:t>
      </w:r>
      <w:r>
        <w:t xml:space="preserve"> on the actual low day, the wrong direction entirely; </w:t>
      </w:r>
      <w:r>
        <w:rPr>
          <w:rFonts w:ascii="Consolas" w:hAnsi="Consolas"/>
          <w:color w:val="8A3F1E"/>
          <w:sz w:val="20"/>
        </w:rPr>
        <w:t>GOOGL</w:t>
      </w:r>
      <w:r>
        <w:t xml:space="preserve">'s </w:t>
      </w:r>
      <w:r>
        <w:rPr>
          <w:rFonts w:ascii="Consolas" w:hAnsi="Consolas"/>
          <w:color w:val="8A3F1E"/>
          <w:sz w:val="20"/>
        </w:rPr>
        <w:t>threeOutside</w:t>
      </w:r>
      <w:r>
        <w:t xml:space="preserve"> call was incorrect in the same manner. </w:t>
      </w:r>
      <w:r>
        <w:rPr>
          <w:rFonts w:ascii="Consolas" w:hAnsi="Consolas"/>
          <w:color w:val="8A3F1E"/>
          <w:sz w:val="20"/>
        </w:rPr>
        <w:t>AMZN</w:t>
      </w:r>
      <w:r>
        <w:t xml:space="preserve"> and </w:t>
      </w:r>
      <w:r>
        <w:rPr>
          <w:rFonts w:ascii="Consolas" w:hAnsi="Consolas"/>
          <w:color w:val="8A3F1E"/>
          <w:sz w:val="20"/>
        </w:rPr>
        <w:t>TSLA</w:t>
      </w:r>
      <w:r>
        <w:t xml:space="preserve"> produced no directional pattern near their lows at all, only indecision-</w:t>
      </w:r>
      <w:r>
        <w:lastRenderedPageBreak/>
        <w:t>category tags (</w:t>
      </w:r>
      <w:r>
        <w:rPr>
          <w:rFonts w:ascii="Consolas" w:hAnsi="Consolas"/>
          <w:color w:val="8A3F1E"/>
          <w:sz w:val="20"/>
        </w:rPr>
        <w:t>longLine</w:t>
      </w:r>
      <w:r>
        <w:t xml:space="preserve">, </w:t>
      </w:r>
      <w:r>
        <w:rPr>
          <w:rFonts w:ascii="Consolas" w:hAnsi="Consolas"/>
          <w:color w:val="8A3F1E"/>
          <w:sz w:val="20"/>
        </w:rPr>
        <w:t>closingMarubozu</w:t>
      </w:r>
      <w:r>
        <w:t>) that fire on a large fraction of all bars irrespective of what is actually occurring. This result operationalizes the qualification stated in the referenced analysis's closing line — "indicators, used with other indicators" — rather than merely repeating it: across six real, comparable instruments, a single-pattern confirmation exactly at the bottom is the exception, and a same-day pattern actively signaling the wrong direction is at least as common.</w:t>
      </w:r>
    </w:p>
    <w:p w14:paraId="2090197C" w14:textId="77777777" w:rsidR="008C145A" w:rsidRDefault="008C145A" w:rsidP="007C5F34">
      <w:pPr>
        <w:spacing w:after="0" w:line="240" w:lineRule="auto"/>
      </w:pPr>
    </w:p>
    <w:p w14:paraId="37FFAA3C" w14:textId="66329FB4" w:rsidR="008C145A" w:rsidRDefault="008C145A" w:rsidP="007C5F34">
      <w:pPr>
        <w:spacing w:after="0" w:line="240" w:lineRule="auto"/>
      </w:pPr>
      <w:r>
        <w:rPr>
          <w:noProof/>
        </w:rPr>
        <w:drawing>
          <wp:inline distT="0" distB="0" distL="0" distR="0" wp14:anchorId="3F25A969" wp14:editId="22E10600">
            <wp:extent cx="5852160" cy="23577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rash-compare.png"/>
                    <pic:cNvPicPr/>
                  </pic:nvPicPr>
                  <pic:blipFill>
                    <a:blip r:embed="rId23"/>
                    <a:stretch>
                      <a:fillRect/>
                    </a:stretch>
                  </pic:blipFill>
                  <pic:spPr>
                    <a:xfrm>
                      <a:off x="0" y="0"/>
                      <a:ext cx="5852160" cy="2357705"/>
                    </a:xfrm>
                    <a:prstGeom prst="rect">
                      <a:avLst/>
                    </a:prstGeom>
                  </pic:spPr>
                </pic:pic>
              </a:graphicData>
            </a:graphic>
          </wp:inline>
        </w:drawing>
      </w:r>
    </w:p>
    <w:p w14:paraId="71C1BDDC" w14:textId="77777777" w:rsidR="007C5F34" w:rsidRDefault="007C5F34" w:rsidP="007C5F34">
      <w:pPr>
        <w:spacing w:after="0" w:line="240" w:lineRule="auto"/>
        <w:rPr>
          <w:b/>
          <w:color w:val="2F5F8A"/>
          <w:sz w:val="30"/>
        </w:rPr>
      </w:pPr>
    </w:p>
    <w:p w14:paraId="309D8879" w14:textId="77777777" w:rsidR="00FC4CD9" w:rsidRDefault="00000000" w:rsidP="007C5F34">
      <w:pPr>
        <w:spacing w:after="0" w:line="240" w:lineRule="auto"/>
      </w:pPr>
      <w:r>
        <w:rPr>
          <w:b/>
          <w:color w:val="2F5F8A"/>
          <w:sz w:val="30"/>
        </w:rPr>
        <w:t>5. Frequency Analysis</w:t>
      </w:r>
    </w:p>
    <w:p w14:paraId="268964FF" w14:textId="77777777" w:rsidR="00FC4CD9" w:rsidRDefault="00000000" w:rsidP="007C5F34">
      <w:pPr>
        <w:spacing w:after="0" w:line="240" w:lineRule="auto"/>
      </w:pPr>
      <w:r>
        <w:t>A single hit on a single historical event is encouraging but does not characterize the library's behavior in general. Running every pattern (</w:t>
      </w:r>
      <w:r>
        <w:rPr>
          <w:rFonts w:ascii="Consolas" w:hAnsi="Consolas"/>
          <w:color w:val="8A3F1E"/>
          <w:sz w:val="20"/>
        </w:rPr>
        <w:t>.candle.signals[bars;.candle.registered[]]</w:t>
      </w:r>
      <w:r>
        <w:t>) against 505 real AAPL daily bars spanning 2019–2020 gives a fuller picture — 1,113 total signals across 32 patterns, distributed highly unevenly:</w:t>
      </w:r>
    </w:p>
    <w:p w14:paraId="7FF458B5" w14:textId="77777777" w:rsidR="00FC4CD9" w:rsidRDefault="00000000" w:rsidP="007C5F34">
      <w:pPr>
        <w:spacing w:after="0" w:line="240" w:lineRule="auto"/>
        <w:jc w:val="center"/>
      </w:pPr>
      <w:r>
        <w:rPr>
          <w:noProof/>
        </w:rPr>
        <w:drawing>
          <wp:inline distT="0" distB="0" distL="0" distR="0" wp14:anchorId="3F21781E" wp14:editId="0209EBA5">
            <wp:extent cx="5852160" cy="385465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quency.png"/>
                    <pic:cNvPicPr/>
                  </pic:nvPicPr>
                  <pic:blipFill>
                    <a:blip r:embed="rId24"/>
                    <a:stretch>
                      <a:fillRect/>
                    </a:stretch>
                  </pic:blipFill>
                  <pic:spPr>
                    <a:xfrm>
                      <a:off x="0" y="0"/>
                      <a:ext cx="5852160" cy="3854652"/>
                    </a:xfrm>
                    <a:prstGeom prst="rect">
                      <a:avLst/>
                    </a:prstGeom>
                  </pic:spPr>
                </pic:pic>
              </a:graphicData>
            </a:graphic>
          </wp:inline>
        </w:drawing>
      </w:r>
    </w:p>
    <w:p w14:paraId="5BFC224C" w14:textId="77777777" w:rsidR="00FC4CD9" w:rsidRDefault="00000000" w:rsidP="007C5F34">
      <w:pPr>
        <w:spacing w:after="0" w:line="240" w:lineRule="auto"/>
        <w:jc w:val="center"/>
      </w:pPr>
      <w:r>
        <w:rPr>
          <w:i/>
          <w:color w:val="5A6A72"/>
          <w:sz w:val="18"/>
        </w:rPr>
        <w:lastRenderedPageBreak/>
        <w:t>Fire frequency, all 32 patterns, real AAPL 2019-2020 daily bars (log scale)</w:t>
      </w:r>
    </w:p>
    <w:p w14:paraId="72BC91E7" w14:textId="77777777" w:rsidR="00FC4CD9" w:rsidRDefault="00000000" w:rsidP="007C5F34">
      <w:pPr>
        <w:spacing w:after="0" w:line="240" w:lineRule="auto"/>
      </w:pPr>
      <w:r>
        <w:rPr>
          <w:rFonts w:ascii="Consolas" w:hAnsi="Consolas"/>
          <w:color w:val="8A3F1E"/>
          <w:sz w:val="20"/>
        </w:rPr>
        <w:t>longLine</w:t>
      </w:r>
      <w:r>
        <w:t xml:space="preserve"> and </w:t>
      </w:r>
      <w:r>
        <w:rPr>
          <w:rFonts w:ascii="Consolas" w:hAnsi="Consolas"/>
          <w:color w:val="8A3F1E"/>
          <w:sz w:val="20"/>
        </w:rPr>
        <w:t>spinningTop</w:t>
      </w:r>
      <w:r>
        <w:t xml:space="preserve"> each fire on approximately 42% of all bars — which is correct behavior, not an anomaly: both are registered </w:t>
      </w:r>
      <w:r>
        <w:rPr>
          <w:rFonts w:ascii="Consolas" w:hAnsi="Consolas"/>
          <w:color w:val="8A3F1E"/>
          <w:sz w:val="20"/>
        </w:rPr>
        <w:t>indecision</w:t>
      </w:r>
      <w:r>
        <w:t>/</w:t>
      </w:r>
      <w:r>
        <w:rPr>
          <w:rFonts w:ascii="Consolas" w:hAnsi="Consolas"/>
          <w:color w:val="8A3F1E"/>
          <w:sz w:val="20"/>
        </w:rPr>
        <w:t>continuation</w:t>
      </w:r>
      <w:r>
        <w:t xml:space="preserve"> in </w:t>
      </w:r>
      <w:r>
        <w:rPr>
          <w:rFonts w:ascii="Consolas" w:hAnsi="Consolas"/>
          <w:color w:val="8A3F1E"/>
          <w:sz w:val="20"/>
        </w:rPr>
        <w:t>.candle.meta</w:t>
      </w:r>
      <w:r>
        <w:t xml:space="preserve">, not </w:t>
      </w:r>
      <w:r>
        <w:rPr>
          <w:rFonts w:ascii="Consolas" w:hAnsi="Consolas"/>
          <w:color w:val="8A3F1E"/>
          <w:sz w:val="20"/>
        </w:rPr>
        <w:t>reversal</w:t>
      </w:r>
      <w:r>
        <w:t xml:space="preserve">, precisely because they encode common, low-conviction descriptive properties ("this bar's body was above average," "this bar had real shadows on both sides"), not rare, high-conviction signals. The more specific multi-candle patterns occupy the opposite end of the distribution — the three-candle </w:t>
      </w:r>
      <w:r>
        <w:rPr>
          <w:rFonts w:ascii="Consolas" w:hAnsi="Consolas"/>
          <w:color w:val="8A3F1E"/>
          <w:sz w:val="20"/>
        </w:rPr>
        <w:t>threeOutside</w:t>
      </w:r>
      <w:r>
        <w:t xml:space="preserve"> and </w:t>
      </w:r>
      <w:r>
        <w:rPr>
          <w:rFonts w:ascii="Consolas" w:hAnsi="Consolas"/>
          <w:color w:val="8A3F1E"/>
          <w:sz w:val="20"/>
        </w:rPr>
        <w:t>advanceBlock</w:t>
      </w:r>
      <w:r>
        <w:t xml:space="preserve">, and the two-candle </w:t>
      </w:r>
      <w:r>
        <w:rPr>
          <w:rFonts w:ascii="Consolas" w:hAnsi="Consolas"/>
          <w:color w:val="8A3F1E"/>
          <w:sz w:val="20"/>
        </w:rPr>
        <w:t>haramiCross</w:t>
      </w:r>
      <w:r>
        <w:t>, all fire on approximately 3% of bars — consistent with what a genuinely specific setup should exhibit: rare enough to be informative when it fires.</w:t>
      </w:r>
    </w:p>
    <w:p w14:paraId="47363205" w14:textId="77777777" w:rsidR="007C5F34" w:rsidRDefault="007C5F34" w:rsidP="007C5F34">
      <w:pPr>
        <w:spacing w:after="0" w:line="240" w:lineRule="auto"/>
        <w:rPr>
          <w:b/>
          <w:color w:val="2F5F8A"/>
          <w:sz w:val="30"/>
        </w:rPr>
      </w:pPr>
    </w:p>
    <w:p w14:paraId="0529C143" w14:textId="77777777" w:rsidR="00FC4CD9" w:rsidRDefault="00000000" w:rsidP="007C5F34">
      <w:pPr>
        <w:spacing w:after="0" w:line="240" w:lineRule="auto"/>
      </w:pPr>
      <w:r>
        <w:rPr>
          <w:b/>
          <w:color w:val="2F5F8A"/>
          <w:sz w:val="30"/>
        </w:rPr>
        <w:t>6. Case Study: A Metadata-Contradicting Defect in `kicking`</w:t>
      </w:r>
    </w:p>
    <w:p w14:paraId="2DE7D9D8" w14:textId="77777777" w:rsidR="00FC4CD9" w:rsidRDefault="00000000" w:rsidP="007C5F34">
      <w:pPr>
        <w:spacing w:after="0" w:line="240" w:lineRule="auto"/>
      </w:pPr>
      <w:r>
        <w:t xml:space="preserve">One pattern's empirical frequency contradicts its own registered metadata. </w:t>
      </w:r>
      <w:r>
        <w:rPr>
          <w:rFonts w:ascii="Consolas" w:hAnsi="Consolas"/>
          <w:color w:val="8A3F1E"/>
          <w:sz w:val="20"/>
        </w:rPr>
        <w:t>.candle.meta</w:t>
      </w:r>
      <w:r>
        <w:t xml:space="preserve"> tags </w:t>
      </w:r>
      <w:r>
        <w:rPr>
          <w:rFonts w:ascii="Consolas" w:hAnsi="Consolas"/>
          <w:color w:val="8A3F1E"/>
          <w:sz w:val="20"/>
        </w:rPr>
        <w:t>kicking</w:t>
      </w:r>
      <w:r>
        <w:t xml:space="preserve"> </w:t>
      </w:r>
      <w:r>
        <w:rPr>
          <w:rFonts w:ascii="Consolas" w:hAnsi="Consolas"/>
          <w:color w:val="8A3F1E"/>
          <w:sz w:val="20"/>
        </w:rPr>
        <w:t>category:</w:t>
      </w:r>
      <w:r>
        <w:t>reversal</w:t>
      </w:r>
      <w:r>
        <w:rPr>
          <w:rFonts w:ascii="Consolas" w:hAnsi="Consolas"/>
          <w:color w:val="8A3F1E"/>
          <w:sz w:val="20"/>
        </w:rPr>
        <w:t xml:space="preserve">; TA-Lib's own documentation describes it as one of the rarer, stronger patterns, predicated on a genuine price *gap* between two marubozu candles of opposite color. In the same 505-bar AAPL sample, </w:t>
      </w:r>
      <w:r>
        <w:t xml:space="preserve">kicking` fires </w:t>
      </w:r>
      <w:r>
        <w:rPr>
          <w:b/>
        </w:rPr>
        <w:t>129 times — 25.5% of all bars</w:t>
      </w:r>
      <w:r>
        <w:t>, far from rare. Determining the cause requires reading what the function actually tests for:</w:t>
      </w:r>
    </w:p>
    <w:p w14:paraId="329CF748" w14:textId="77777777" w:rsidR="00FC4CD9" w:rsidRDefault="00000000" w:rsidP="007C5F34">
      <w:pPr>
        <w:spacing w:after="0" w:line="240" w:lineRule="auto"/>
        <w:jc w:val="center"/>
      </w:pPr>
      <w:r>
        <w:rPr>
          <w:noProof/>
        </w:rPr>
        <w:drawing>
          <wp:inline distT="0" distB="0" distL="0" distR="0" wp14:anchorId="51A1DD20" wp14:editId="49ACF9B5">
            <wp:extent cx="3080824" cy="189913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09_kicking-code.png"/>
                    <pic:cNvPicPr/>
                  </pic:nvPicPr>
                  <pic:blipFill>
                    <a:blip r:embed="rId25"/>
                    <a:stretch>
                      <a:fillRect/>
                    </a:stretch>
                  </pic:blipFill>
                  <pic:spPr>
                    <a:xfrm>
                      <a:off x="0" y="0"/>
                      <a:ext cx="3080824" cy="1899138"/>
                    </a:xfrm>
                    <a:prstGeom prst="rect">
                      <a:avLst/>
                    </a:prstGeom>
                  </pic:spPr>
                </pic:pic>
              </a:graphicData>
            </a:graphic>
          </wp:inline>
        </w:drawing>
      </w:r>
    </w:p>
    <w:p w14:paraId="4AC74764" w14:textId="77777777" w:rsidR="00FC4CD9" w:rsidRDefault="00FC4CD9" w:rsidP="007C5F34">
      <w:pPr>
        <w:spacing w:after="0" w:line="240" w:lineRule="auto"/>
      </w:pPr>
    </w:p>
    <w:p w14:paraId="5A0AB70C" w14:textId="77777777" w:rsidR="00FC4CD9" w:rsidRDefault="00000000" w:rsidP="007C5F34">
      <w:pPr>
        <w:spacing w:after="0" w:line="240" w:lineRule="auto"/>
      </w:pPr>
      <w:r>
        <w:rPr>
          <w:rFonts w:ascii="Consolas" w:hAnsi="Consolas"/>
          <w:color w:val="8A3F1E"/>
          <w:sz w:val="20"/>
        </w:rPr>
        <w:t>o&gt;prev c</w:t>
      </w:r>
      <w:r>
        <w:t xml:space="preserve"> — today's open above yesterday's close — is the entirety of the gap condition. This is a real but weak condition: any positive overnight drift satisfies it, with no requirement that today's open actually clear </w:t>
      </w:r>
      <w:r>
        <w:rPr>
          <w:i/>
        </w:rPr>
        <w:t>yesterday's high</w:t>
      </w:r>
      <w:r>
        <w:t xml:space="preserve"> (a genuine gap) or that either candle possess marubozu-strength body proportions. Querying every one of the 129 real fires against the actual prior high/low, rather than merely the prior close, resolves the question precisely:</w:t>
      </w:r>
    </w:p>
    <w:p w14:paraId="681D1A87" w14:textId="77777777" w:rsidR="00FC4CD9" w:rsidRDefault="00000000" w:rsidP="007C5F34">
      <w:pPr>
        <w:spacing w:after="0" w:line="240" w:lineRule="auto"/>
        <w:jc w:val="center"/>
      </w:pPr>
      <w:r>
        <w:rPr>
          <w:noProof/>
        </w:rPr>
        <w:drawing>
          <wp:inline distT="0" distB="0" distL="0" distR="0" wp14:anchorId="0BF46083" wp14:editId="39272734">
            <wp:extent cx="4572000" cy="914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10_kicking-realgap-query.png"/>
                    <pic:cNvPicPr/>
                  </pic:nvPicPr>
                  <pic:blipFill>
                    <a:blip r:embed="rId26"/>
                    <a:stretch>
                      <a:fillRect/>
                    </a:stretch>
                  </pic:blipFill>
                  <pic:spPr>
                    <a:xfrm>
                      <a:off x="0" y="0"/>
                      <a:ext cx="4572000" cy="914400"/>
                    </a:xfrm>
                    <a:prstGeom prst="rect">
                      <a:avLst/>
                    </a:prstGeom>
                  </pic:spPr>
                </pic:pic>
              </a:graphicData>
            </a:graphic>
          </wp:inline>
        </w:drawing>
      </w:r>
    </w:p>
    <w:p w14:paraId="3F8F9EB6" w14:textId="77777777" w:rsidR="00FC4CD9" w:rsidRDefault="00FC4CD9" w:rsidP="007C5F34">
      <w:pPr>
        <w:spacing w:after="0" w:line="240" w:lineRule="auto"/>
      </w:pPr>
    </w:p>
    <w:p w14:paraId="03C874A7" w14:textId="77777777" w:rsidR="00FC4CD9" w:rsidRDefault="00000000" w:rsidP="007C5F34">
      <w:pPr>
        <w:spacing w:after="0" w:line="240" w:lineRule="auto"/>
        <w:jc w:val="center"/>
      </w:pPr>
      <w:r>
        <w:rPr>
          <w:noProof/>
        </w:rPr>
        <w:drawing>
          <wp:inline distT="0" distB="0" distL="0" distR="0" wp14:anchorId="2E17D6C6" wp14:editId="63973E72">
            <wp:extent cx="4276578" cy="123795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11_kicking-realgap-result.png"/>
                    <pic:cNvPicPr/>
                  </pic:nvPicPr>
                  <pic:blipFill>
                    <a:blip r:embed="rId27"/>
                    <a:stretch>
                      <a:fillRect/>
                    </a:stretch>
                  </pic:blipFill>
                  <pic:spPr>
                    <a:xfrm>
                      <a:off x="0" y="0"/>
                      <a:ext cx="4276578" cy="1237957"/>
                    </a:xfrm>
                    <a:prstGeom prst="rect">
                      <a:avLst/>
                    </a:prstGeom>
                  </pic:spPr>
                </pic:pic>
              </a:graphicData>
            </a:graphic>
          </wp:inline>
        </w:drawing>
      </w:r>
    </w:p>
    <w:p w14:paraId="3C2FD78D" w14:textId="77777777" w:rsidR="00FC4CD9" w:rsidRDefault="00FC4CD9" w:rsidP="007C5F34">
      <w:pPr>
        <w:spacing w:after="0" w:line="240" w:lineRule="auto"/>
      </w:pPr>
    </w:p>
    <w:p w14:paraId="126D0E7F" w14:textId="77777777" w:rsidR="00FC4CD9" w:rsidRDefault="00000000" w:rsidP="007C5F34">
      <w:pPr>
        <w:spacing w:after="0" w:line="240" w:lineRule="auto"/>
      </w:pPr>
      <w:r>
        <w:t xml:space="preserve">Two-thirds of this port's </w:t>
      </w:r>
      <w:r>
        <w:rPr>
          <w:rFonts w:ascii="Consolas" w:hAnsi="Consolas"/>
          <w:color w:val="8A3F1E"/>
          <w:sz w:val="20"/>
        </w:rPr>
        <w:t>kicking</w:t>
      </w:r>
      <w:r>
        <w:t xml:space="preserve"> signals do not correspond to genuine gaps — a real, previously undocumented defect in the port (identified in this study, confirmed against real data, not merely asserted), distinct from the eleven build-compatibility defect classes already listed in the file's own header. It is left </w:t>
      </w:r>
      <w:r>
        <w:lastRenderedPageBreak/>
        <w:t>unfixed here; documenting the defect precisely and deferring the fix to a dedicated follow-up is the more methodologically sound choice than silently patching one function within an article whose subject is verification discipline.</w:t>
      </w:r>
    </w:p>
    <w:p w14:paraId="7CD1E28B" w14:textId="77777777" w:rsidR="00FC4CD9" w:rsidRDefault="00000000" w:rsidP="007C5F34">
      <w:pPr>
        <w:spacing w:after="0" w:line="240" w:lineRule="auto"/>
      </w:pPr>
      <w:r>
        <w:t>Whether AAPL is an outlier in this respect as well — as it was in §4.2's directional comparison — is directly testable using the same six-issuer sample:</w:t>
      </w:r>
    </w:p>
    <w:p w14:paraId="1AECE87B" w14:textId="77777777" w:rsidR="00D93EC5" w:rsidRDefault="00000000">
      <w:pPr>
        <w:jc w:val="center"/>
      </w:pPr>
      <w:r>
        <w:rPr>
          <w:noProof/>
        </w:rPr>
        <w:drawing>
          <wp:inline distT="0" distB="0" distL="0" distR="0" wp14:anchorId="759AE27B" wp14:editId="51EF9147">
            <wp:extent cx="3629464" cy="236337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kicking-multistock.png"/>
                    <pic:cNvPicPr/>
                  </pic:nvPicPr>
                  <pic:blipFill>
                    <a:blip r:embed="rId28"/>
                    <a:stretch>
                      <a:fillRect/>
                    </a:stretch>
                  </pic:blipFill>
                  <pic:spPr>
                    <a:xfrm>
                      <a:off x="0" y="0"/>
                      <a:ext cx="3629464" cy="2363372"/>
                    </a:xfrm>
                    <a:prstGeom prst="rect">
                      <a:avLst/>
                    </a:prstGeom>
                  </pic:spPr>
                </pic:pic>
              </a:graphicData>
            </a:graphic>
          </wp:inline>
        </w:drawing>
      </w:r>
    </w:p>
    <w:p w14:paraId="0D9F8570" w14:textId="77777777" w:rsidR="00FC4CD9" w:rsidRDefault="00FC4CD9" w:rsidP="007C5F34">
      <w:pPr>
        <w:spacing w:after="0" w:line="240" w:lineRule="auto"/>
      </w:pPr>
    </w:p>
    <w:p w14:paraId="3BCEC97E" w14:textId="77777777" w:rsidR="00FC4CD9" w:rsidRDefault="00000000" w:rsidP="007C5F34">
      <w:pPr>
        <w:spacing w:after="0" w:line="240" w:lineRule="auto"/>
      </w:pPr>
      <w:r>
        <w:t xml:space="preserve">It is not. Every issuer fires </w:t>
      </w:r>
      <w:r>
        <w:rPr>
          <w:rFonts w:ascii="Consolas" w:hAnsi="Consolas"/>
          <w:color w:val="8A3F1E"/>
          <w:sz w:val="20"/>
        </w:rPr>
        <w:t>kicking</w:t>
      </w:r>
      <w:r>
        <w:t xml:space="preserve"> on roughly one bar in four, and in every case fewer than a third of those fires clear the real prior high/low. The defect is a property of the function itself, holding at a consistent rate across every instrument examined, rather than an artifact specific to the first instrument checked.</w:t>
      </w:r>
    </w:p>
    <w:p w14:paraId="0714BC45" w14:textId="77777777" w:rsidR="007C5F34" w:rsidRDefault="007C5F34" w:rsidP="007C5F34">
      <w:pPr>
        <w:spacing w:after="0" w:line="240" w:lineRule="auto"/>
        <w:rPr>
          <w:b/>
          <w:color w:val="2F5F8A"/>
          <w:sz w:val="30"/>
        </w:rPr>
      </w:pPr>
    </w:p>
    <w:p w14:paraId="41876035" w14:textId="77777777" w:rsidR="00FC4CD9" w:rsidRDefault="00000000" w:rsidP="007C5F34">
      <w:pPr>
        <w:spacing w:after="0" w:line="240" w:lineRule="auto"/>
      </w:pPr>
      <w:r>
        <w:rPr>
          <w:b/>
          <w:color w:val="2F5F8A"/>
          <w:sz w:val="30"/>
        </w:rPr>
        <w:t>7. Forward-Return Edge Test: Does Any of This Predict Price</w:t>
      </w:r>
    </w:p>
    <w:p w14:paraId="0182B37D" w14:textId="77777777" w:rsidR="00FC4CD9" w:rsidRDefault="00000000" w:rsidP="007C5F34">
      <w:pPr>
        <w:spacing w:after="0" w:line="240" w:lineRule="auto"/>
      </w:pPr>
      <w:r>
        <w:t>Every result to this point is an event study of one kind or another: does a specific pattern fire near a specific, already-known event. The question those results cannot answer is the reverse one — pooled across the library's full directional vocabulary and the full real history available, does a fired pattern's implied direction carry any measurable forward-return information at all, beyond what an unconditional baseline already gives you for holding the same instrument over the same horizon.</w:t>
      </w:r>
    </w:p>
    <w:p w14:paraId="0E2C7AE9" w14:textId="77777777" w:rsidR="00FC4CD9" w:rsidRDefault="00000000" w:rsidP="007C5F34">
      <w:pPr>
        <w:spacing w:after="0" w:line="240" w:lineRule="auto"/>
      </w:pPr>
      <w:r>
        <w:rPr>
          <w:b/>
        </w:rPr>
        <w:t>Method.</w:t>
      </w:r>
      <w:r>
        <w:t xml:space="preserve"> Real daily bars were pulled from openQ's </w:t>
      </w:r>
      <w:r>
        <w:rPr>
          <w:rFonts w:ascii="Consolas" w:hAnsi="Consolas"/>
          <w:color w:val="8A3F1E"/>
          <w:sz w:val="20"/>
        </w:rPr>
        <w:t>eq_hdb</w:t>
      </w:r>
      <w:r>
        <w:t xml:space="preserve"> for all 14 major technology issuers used in §4.2 (</w:t>
      </w:r>
      <w:r>
        <w:rPr>
          <w:rFonts w:ascii="Consolas" w:hAnsi="Consolas"/>
          <w:color w:val="8A3F1E"/>
          <w:sz w:val="20"/>
        </w:rPr>
        <w:t>GOOG</w:t>
      </w:r>
      <w:r>
        <w:t xml:space="preserve"> excluded to avoid double-counting </w:t>
      </w:r>
      <w:r>
        <w:rPr>
          <w:rFonts w:ascii="Consolas" w:hAnsi="Consolas"/>
          <w:color w:val="8A3F1E"/>
          <w:sz w:val="20"/>
        </w:rPr>
        <w:t>GOOGL</w:t>
      </w:r>
      <w:r>
        <w:t xml:space="preserve">'s near-identical series), full available history per issuer — 57,911 bars in total, spanning back to 2009 where an issuer's own listing history allows. For each issuer independently (sorted ascending, so no horizon ever crosses a symbol boundary), an N-session forward return was computed for N ∈ {1, 5, 10}: </w:t>
      </w:r>
      <w:r>
        <w:rPr>
          <w:rFonts w:ascii="Consolas" w:hAnsi="Consolas"/>
          <w:color w:val="8A3F1E"/>
          <w:sz w:val="20"/>
        </w:rPr>
        <w:t>fwd[i] = close[i+N] / close[i] - 1</w:t>
      </w:r>
      <w:r>
        <w:t xml:space="preserve">. All 29 directional patterns (every pattern except the three neutral/indecision-only ones — </w:t>
      </w:r>
      <w:r>
        <w:rPr>
          <w:rFonts w:ascii="Consolas" w:hAnsi="Consolas"/>
          <w:color w:val="8A3F1E"/>
          <w:sz w:val="20"/>
        </w:rPr>
        <w:t>doji</w:t>
      </w:r>
      <w:r>
        <w:t xml:space="preserve">, </w:t>
      </w:r>
      <w:r>
        <w:rPr>
          <w:rFonts w:ascii="Consolas" w:hAnsi="Consolas"/>
          <w:color w:val="8A3F1E"/>
          <w:sz w:val="20"/>
        </w:rPr>
        <w:t>longLeggedDoji</w:t>
      </w:r>
      <w:r>
        <w:t xml:space="preserve">, </w:t>
      </w:r>
      <w:r>
        <w:rPr>
          <w:rFonts w:ascii="Consolas" w:hAnsi="Consolas"/>
          <w:color w:val="8A3F1E"/>
          <w:sz w:val="20"/>
        </w:rPr>
        <w:t>spinningTop</w:t>
      </w:r>
      <w:r>
        <w:t xml:space="preserve">) were then fired pooled across the full cross-section via </w:t>
      </w:r>
      <w:r>
        <w:rPr>
          <w:rFonts w:ascii="Consolas" w:hAnsi="Consolas"/>
          <w:color w:val="8A3F1E"/>
          <w:sz w:val="20"/>
        </w:rPr>
        <w:t>.candle.signals</w:t>
      </w:r>
      <w:r>
        <w:t xml:space="preserve">, yielding 87,301 real fires. Each fire's </w:t>
      </w:r>
      <w:r>
        <w:rPr>
          <w:i/>
        </w:rPr>
        <w:t>predicted</w:t>
      </w:r>
      <w:r>
        <w:t xml:space="preserve"> direction is the sign of its own signal for </w:t>
      </w:r>
      <w:r>
        <w:rPr>
          <w:rFonts w:ascii="Consolas" w:hAnsi="Consolas"/>
          <w:color w:val="8A3F1E"/>
          <w:sz w:val="20"/>
        </w:rPr>
        <w:t>both</w:t>
      </w:r>
      <w:r>
        <w:t xml:space="preserve">-direction patterns, or fixed by category for </w:t>
      </w:r>
      <w:r>
        <w:rPr>
          <w:rFonts w:ascii="Consolas" w:hAnsi="Consolas"/>
          <w:color w:val="8A3F1E"/>
          <w:sz w:val="20"/>
        </w:rPr>
        <w:t>bullish</w:t>
      </w:r>
      <w:r>
        <w:t xml:space="preserve">-/ </w:t>
      </w:r>
      <w:r>
        <w:rPr>
          <w:rFonts w:ascii="Consolas" w:hAnsi="Consolas"/>
          <w:color w:val="8A3F1E"/>
          <w:sz w:val="20"/>
        </w:rPr>
        <w:t>bearish</w:t>
      </w:r>
      <w:r>
        <w:t>-only patterns:</w:t>
      </w:r>
    </w:p>
    <w:p w14:paraId="5B73EE79" w14:textId="77777777" w:rsidR="00FC4CD9" w:rsidRDefault="00000000" w:rsidP="007C5F34">
      <w:pPr>
        <w:spacing w:after="0" w:line="240" w:lineRule="auto"/>
        <w:jc w:val="center"/>
      </w:pPr>
      <w:r>
        <w:rPr>
          <w:noProof/>
        </w:rPr>
        <w:lastRenderedPageBreak/>
        <w:drawing>
          <wp:inline distT="0" distB="0" distL="0" distR="0" wp14:anchorId="3C43976C" wp14:editId="0814D551">
            <wp:extent cx="4515729" cy="189913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12_edgetest-code.png"/>
                    <pic:cNvPicPr/>
                  </pic:nvPicPr>
                  <pic:blipFill>
                    <a:blip r:embed="rId29"/>
                    <a:stretch>
                      <a:fillRect/>
                    </a:stretch>
                  </pic:blipFill>
                  <pic:spPr>
                    <a:xfrm>
                      <a:off x="0" y="0"/>
                      <a:ext cx="4515729" cy="1899139"/>
                    </a:xfrm>
                    <a:prstGeom prst="rect">
                      <a:avLst/>
                    </a:prstGeom>
                  </pic:spPr>
                </pic:pic>
              </a:graphicData>
            </a:graphic>
          </wp:inline>
        </w:drawing>
      </w:r>
    </w:p>
    <w:p w14:paraId="09907549" w14:textId="77777777" w:rsidR="00FC4CD9" w:rsidRDefault="00FC4CD9" w:rsidP="007C5F34">
      <w:pPr>
        <w:spacing w:after="0" w:line="240" w:lineRule="auto"/>
      </w:pPr>
    </w:p>
    <w:p w14:paraId="05F01ABC" w14:textId="77777777" w:rsidR="00FC4CD9" w:rsidRDefault="00000000" w:rsidP="007C5F34">
      <w:pPr>
        <w:spacing w:after="0" w:line="240" w:lineRule="auto"/>
      </w:pPr>
      <w:r>
        <w:t>For every (pattern, predicted side, horizon) combination, the mean forward return conditional on a fire was compared against the pooled, unconditional baseline for the same horizon (base₁=0.106%, base₅=0.527%, base₁₀=1.056% — consistent with this basket's own upward drift over the sample period), via a one-sample t-statistic of the fired-group mean against that baseline. This produces 105 pattern×side×horizon comparisons in total.</w:t>
      </w:r>
    </w:p>
    <w:p w14:paraId="673E4E06" w14:textId="77777777" w:rsidR="00FC4CD9" w:rsidRDefault="00000000" w:rsidP="007C5F34">
      <w:pPr>
        <w:spacing w:after="0" w:line="240" w:lineRule="auto"/>
        <w:jc w:val="center"/>
      </w:pPr>
      <w:r>
        <w:rPr>
          <w:noProof/>
        </w:rPr>
        <w:drawing>
          <wp:inline distT="0" distB="0" distL="0" distR="0" wp14:anchorId="2248380E" wp14:editId="479B2A55">
            <wp:extent cx="5852160" cy="364158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getest.png"/>
                    <pic:cNvPicPr/>
                  </pic:nvPicPr>
                  <pic:blipFill>
                    <a:blip r:embed="rId30"/>
                    <a:stretch>
                      <a:fillRect/>
                    </a:stretch>
                  </pic:blipFill>
                  <pic:spPr>
                    <a:xfrm>
                      <a:off x="0" y="0"/>
                      <a:ext cx="5852160" cy="3641581"/>
                    </a:xfrm>
                    <a:prstGeom prst="rect">
                      <a:avLst/>
                    </a:prstGeom>
                  </pic:spPr>
                </pic:pic>
              </a:graphicData>
            </a:graphic>
          </wp:inline>
        </w:drawing>
      </w:r>
    </w:p>
    <w:p w14:paraId="5C443111" w14:textId="77777777" w:rsidR="00FC4CD9" w:rsidRDefault="00000000" w:rsidP="007C5F34">
      <w:pPr>
        <w:spacing w:after="0" w:line="240" w:lineRule="auto"/>
        <w:jc w:val="center"/>
      </w:pPr>
      <w:r>
        <w:rPr>
          <w:i/>
          <w:color w:val="5A6A72"/>
          <w:sz w:val="18"/>
        </w:rPr>
        <w:t>Forward-return edge test — top 12 of 105 combos by |t-stat|; none clear the Bonferroni-corrected threshold</w:t>
      </w:r>
    </w:p>
    <w:p w14:paraId="3F1B40CD" w14:textId="297841CA" w:rsidR="00D93EC5" w:rsidRDefault="00D93EC5">
      <w:pPr>
        <w:jc w:val="center"/>
      </w:pPr>
    </w:p>
    <w:p w14:paraId="1391DA55" w14:textId="77777777" w:rsidR="00FC4CD9" w:rsidRDefault="00FC4CD9" w:rsidP="007C5F34">
      <w:pPr>
        <w:spacing w:after="0" w:line="240" w:lineRule="auto"/>
      </w:pPr>
    </w:p>
    <w:p w14:paraId="5D71AAE5" w14:textId="77777777" w:rsidR="00FC4CD9" w:rsidRDefault="00000000" w:rsidP="007C5F34">
      <w:pPr>
        <w:spacing w:after="0" w:line="240" w:lineRule="auto"/>
      </w:pPr>
      <w:r>
        <w:rPr>
          <w:b/>
        </w:rPr>
        <w:t>Result.</w:t>
      </w:r>
      <w:r>
        <w:t xml:space="preserve"> Of 105 comparisons, 8 clear the conventional, uncorrected significance threshold (|t| &gt; 1.96, p &lt; .05) — only marginally more than the ~5 expected from 105 independent tests by chance alone at that threshold. None clear a Bonferroni-corrected threshold (α = 0.05 / 105 ≈ 0.00048, requiring |t| ≳ 3.5) — including the single strongest result in the table. That strongest result is itself noteworthy: a bearish </w:t>
      </w:r>
      <w:r>
        <w:rPr>
          <w:rFonts w:ascii="Consolas" w:hAnsi="Consolas"/>
          <w:color w:val="8A3F1E"/>
          <w:sz w:val="20"/>
        </w:rPr>
        <w:t>engulfing</w:t>
      </w:r>
      <w:r>
        <w:t xml:space="preserve"> fire's mean 1-day forward return is +0.26%, </w:t>
      </w:r>
      <w:r>
        <w:rPr>
          <w:i/>
        </w:rPr>
        <w:t>above</w:t>
      </w:r>
      <w:r>
        <w:t xml:space="preserve"> the unconditional baseline of +0.106% and moving in the direction opposite what "bearish" implies — an anti-predictive result, not merely a null one, though it weakens at 5-day (t = -1.98) and 10-day (t = -0.90) horizons.</w:t>
      </w:r>
    </w:p>
    <w:p w14:paraId="343AE57A" w14:textId="04043F0B" w:rsidR="008C145A" w:rsidRDefault="008C145A" w:rsidP="007C5F34">
      <w:pPr>
        <w:spacing w:after="0" w:line="240" w:lineRule="auto"/>
      </w:pPr>
      <w:r>
        <w:rPr>
          <w:noProof/>
        </w:rPr>
        <w:lastRenderedPageBreak/>
        <w:drawing>
          <wp:inline distT="0" distB="0" distL="0" distR="0" wp14:anchorId="31F32984" wp14:editId="588C8059">
            <wp:extent cx="3615396" cy="236337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edgetest-table.png"/>
                    <pic:cNvPicPr/>
                  </pic:nvPicPr>
                  <pic:blipFill>
                    <a:blip r:embed="rId31"/>
                    <a:stretch>
                      <a:fillRect/>
                    </a:stretch>
                  </pic:blipFill>
                  <pic:spPr>
                    <a:xfrm>
                      <a:off x="0" y="0"/>
                      <a:ext cx="3615396" cy="2363372"/>
                    </a:xfrm>
                    <a:prstGeom prst="rect">
                      <a:avLst/>
                    </a:prstGeom>
                  </pic:spPr>
                </pic:pic>
              </a:graphicData>
            </a:graphic>
          </wp:inline>
        </w:drawing>
      </w:r>
    </w:p>
    <w:p w14:paraId="6CB5FFFC" w14:textId="77777777" w:rsidR="007C5F34" w:rsidRDefault="007C5F34" w:rsidP="007C5F34">
      <w:pPr>
        <w:spacing w:after="0" w:line="240" w:lineRule="auto"/>
      </w:pPr>
    </w:p>
    <w:p w14:paraId="1D2A5CDC" w14:textId="77777777" w:rsidR="00FC4CD9" w:rsidRDefault="00000000" w:rsidP="007C5F34">
      <w:pPr>
        <w:spacing w:after="0" w:line="240" w:lineRule="auto"/>
      </w:pPr>
      <w:r>
        <w:t xml:space="preserve">Set against the patterns discussed earlier in this article: </w:t>
      </w:r>
      <w:r>
        <w:rPr>
          <w:rFonts w:ascii="Consolas" w:hAnsi="Consolas"/>
          <w:color w:val="8A3F1E"/>
          <w:sz w:val="20"/>
        </w:rPr>
        <w:t>hammer</w:t>
      </w:r>
      <w:r>
        <w:t xml:space="preserve"> (bull) shows essentially no measurable edge at any horizon (h5 edge = +0.05%, t = </w:t>
      </w:r>
      <w:proofErr w:type="gramStart"/>
      <w:r>
        <w:t>0.35) —</w:t>
      </w:r>
      <w:proofErr w:type="gramEnd"/>
      <w:r>
        <w:t xml:space="preserve"> the single, precise hit at AAPL's 2020 low examined in §4.1 does not generalize into a measurable average edge across the pattern's 1,336 real fires. </w:t>
      </w:r>
      <w:r>
        <w:rPr>
          <w:rFonts w:ascii="Consolas" w:hAnsi="Consolas"/>
          <w:color w:val="8A3F1E"/>
          <w:sz w:val="20"/>
        </w:rPr>
        <w:t>kicking</w:t>
      </w:r>
      <w:r>
        <w:t xml:space="preserve"> fares no better on either side at any horizon (bear h5: t = 0.89; bull h5: t = -1.47) — consistent with §6's finding that its gap check is too loose to be selective: a trigger condition that fires on ordinary overnight drift is firing on noise, and noise carries no forward-return information, which is exactly what shows up here. </w:t>
      </w:r>
      <w:r>
        <w:rPr>
          <w:rFonts w:ascii="Consolas" w:hAnsi="Consolas"/>
          <w:color w:val="8A3F1E"/>
          <w:sz w:val="20"/>
        </w:rPr>
        <w:t>invertedHammer</w:t>
      </w:r>
      <w:r>
        <w:t xml:space="preserve"> (bull) is the closest thing to a </w:t>
      </w:r>
      <w:r>
        <w:rPr>
          <w:i/>
        </w:rPr>
        <w:t>consistently</w:t>
      </w:r>
      <w:r>
        <w:t>-signed result among the named patterns — a positive, correctly-directional edge at all three horizons (t = 2.25, 1.58, 2.02) — but it does not survive correction for how many comparisons were run either.</w:t>
      </w:r>
    </w:p>
    <w:p w14:paraId="7D393690" w14:textId="77777777" w:rsidR="007C5F34" w:rsidRDefault="007C5F34" w:rsidP="007C5F34">
      <w:pPr>
        <w:spacing w:after="0" w:line="240" w:lineRule="auto"/>
      </w:pPr>
    </w:p>
    <w:p w14:paraId="16EF3FEE" w14:textId="77777777" w:rsidR="00FC4CD9" w:rsidRDefault="00000000" w:rsidP="007C5F34">
      <w:pPr>
        <w:spacing w:after="0" w:line="240" w:lineRule="auto"/>
      </w:pPr>
      <w:r>
        <w:t>A simpler, pooled version of the same question: across all 87,020 real fires with a nonzero 5-day forward return, does the predicted direction beat a coin flip? It does, barely — 52.06% directional accuracy, versus 50% chance (z = 12.18, significant only because n is enormous; the effect size itself is a two-percentage-point edge, and this pooled figure alone says nothing about which individual pattern, if any, is responsible for it).</w:t>
      </w:r>
    </w:p>
    <w:p w14:paraId="73744C9F" w14:textId="77777777" w:rsidR="007C5F34" w:rsidRDefault="00000000" w:rsidP="007C5F34">
      <w:pPr>
        <w:spacing w:after="0" w:line="240" w:lineRule="auto"/>
      </w:pPr>
      <w:r>
        <w:rPr>
          <w:b/>
        </w:rPr>
        <w:t>Interpretation.</w:t>
      </w:r>
      <w:r>
        <w:t xml:space="preserve"> This is the sharpest form of the caution both this article and its source repeat throughout — a candlestick pattern is "an indicator, used with other indicators." Tested at scale (87,301 real fires, 105 pattern/side/horizon combinations, full available history on 14 real instruments) rather than by anecdote, this library's directional signals carry, at most, a barely detectable pooled edge and not one individual pattern's conditional-mean forward return survives correction for the number of comparisons performed. </w:t>
      </w:r>
    </w:p>
    <w:p w14:paraId="4FAC74AF" w14:textId="77777777" w:rsidR="007C5F34" w:rsidRDefault="007C5F34" w:rsidP="007C5F34">
      <w:pPr>
        <w:spacing w:after="0" w:line="240" w:lineRule="auto"/>
      </w:pPr>
    </w:p>
    <w:p w14:paraId="26054068" w14:textId="77777777" w:rsidR="00FC4CD9" w:rsidRDefault="00000000" w:rsidP="007C5F34">
      <w:pPr>
        <w:spacing w:after="0" w:line="240" w:lineRule="auto"/>
      </w:pPr>
      <w:r>
        <w:t>This is not a claim that the patterns are worthless — nothing here rules out a genuine edge inside a narrower regime, a shorter lookback, or in combination with other signals, and §8 wires this library into a backtest engine that combines a candle signal with position sizing and execution rather than trading it alone — but it does mean the honest empirical floor under the literal claim "candlestick pattern X predicts direction" is close to zero once tested at scale, rather than assumed from a handful of anecdotes.</w:t>
      </w:r>
    </w:p>
    <w:p w14:paraId="32849FA9" w14:textId="77777777" w:rsidR="007C5F34" w:rsidRDefault="007C5F34" w:rsidP="007C5F34">
      <w:pPr>
        <w:spacing w:after="0" w:line="240" w:lineRule="auto"/>
        <w:rPr>
          <w:b/>
          <w:color w:val="2F5F8A"/>
          <w:sz w:val="30"/>
        </w:rPr>
      </w:pPr>
    </w:p>
    <w:p w14:paraId="24EDF3FB" w14:textId="77777777" w:rsidR="00FC4CD9" w:rsidRDefault="00000000" w:rsidP="007C5F34">
      <w:pPr>
        <w:spacing w:after="0" w:line="240" w:lineRule="auto"/>
      </w:pPr>
      <w:r>
        <w:rPr>
          <w:b/>
          <w:color w:val="2F5F8A"/>
          <w:sz w:val="30"/>
        </w:rPr>
        <w:t>8. Integration with the Backtesting Engine</w:t>
      </w:r>
    </w:p>
    <w:p w14:paraId="57B5B900" w14:textId="77777777" w:rsidR="00FC4CD9" w:rsidRDefault="00000000" w:rsidP="007C5F34">
      <w:pPr>
        <w:spacing w:after="0" w:line="240" w:lineRule="auto"/>
      </w:pPr>
      <w:r>
        <w:rPr>
          <w:rFonts w:ascii="Consolas" w:hAnsi="Consolas"/>
          <w:color w:val="8A3F1E"/>
          <w:sz w:val="20"/>
        </w:rPr>
        <w:t>candle.q</w:t>
      </w:r>
      <w:r>
        <w:t xml:space="preserve"> is not intended to run standalone. </w:t>
      </w:r>
      <w:r>
        <w:rPr>
          <w:rFonts w:ascii="Consolas" w:hAnsi="Consolas"/>
          <w:color w:val="8A3F1E"/>
          <w:sz w:val="20"/>
        </w:rPr>
        <w:t>modules/backtest/backtest.q</w:t>
      </w:r>
      <w:r>
        <w:t xml:space="preserve"> wraps it as </w:t>
      </w:r>
      <w:r>
        <w:rPr>
          <w:rFonts w:ascii="Consolas" w:hAnsi="Consolas"/>
          <w:color w:val="8A3F1E"/>
          <w:sz w:val="20"/>
        </w:rPr>
        <w:t>.bt.alphas.candlePattern</w:t>
      </w:r>
      <w:r>
        <w:t xml:space="preserve">, one of four pluggable alpha models (alongside </w:t>
      </w:r>
      <w:r>
        <w:rPr>
          <w:rFonts w:ascii="Consolas" w:hAnsi="Consolas"/>
          <w:color w:val="8A3F1E"/>
          <w:sz w:val="20"/>
        </w:rPr>
        <w:t>smaCrossover</w:t>
      </w:r>
      <w:r>
        <w:t xml:space="preserve">, </w:t>
      </w:r>
      <w:r>
        <w:rPr>
          <w:rFonts w:ascii="Consolas" w:hAnsi="Consolas"/>
          <w:color w:val="8A3F1E"/>
          <w:sz w:val="20"/>
        </w:rPr>
        <w:t>meanReversion</w:t>
      </w:r>
      <w:r>
        <w:t xml:space="preserve">, </w:t>
      </w:r>
      <w:r>
        <w:rPr>
          <w:rFonts w:ascii="Consolas" w:hAnsi="Consolas"/>
          <w:color w:val="8A3F1E"/>
          <w:sz w:val="20"/>
        </w:rPr>
        <w:t>momentum</w:t>
      </w:r>
      <w:r>
        <w:t>) within a backtest engine modeled on QuantConnect LEAN's Algorithm Framework:</w:t>
      </w:r>
    </w:p>
    <w:p w14:paraId="71872683" w14:textId="77777777" w:rsidR="00FC4CD9" w:rsidRDefault="00000000" w:rsidP="007C5F34">
      <w:pPr>
        <w:spacing w:after="0" w:line="240" w:lineRule="auto"/>
        <w:jc w:val="center"/>
      </w:pPr>
      <w:r>
        <w:rPr>
          <w:noProof/>
        </w:rPr>
        <w:lastRenderedPageBreak/>
        <w:drawing>
          <wp:inline distT="0" distB="0" distL="0" distR="0" wp14:anchorId="26B3D007" wp14:editId="5B406B84">
            <wp:extent cx="4403187" cy="223676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13_bt-alpha.png"/>
                    <pic:cNvPicPr/>
                  </pic:nvPicPr>
                  <pic:blipFill>
                    <a:blip r:embed="rId32"/>
                    <a:stretch>
                      <a:fillRect/>
                    </a:stretch>
                  </pic:blipFill>
                  <pic:spPr>
                    <a:xfrm>
                      <a:off x="0" y="0"/>
                      <a:ext cx="4403187" cy="2236763"/>
                    </a:xfrm>
                    <a:prstGeom prst="rect">
                      <a:avLst/>
                    </a:prstGeom>
                  </pic:spPr>
                </pic:pic>
              </a:graphicData>
            </a:graphic>
          </wp:inline>
        </w:drawing>
      </w:r>
    </w:p>
    <w:p w14:paraId="68DD76E8" w14:textId="77777777" w:rsidR="00FC4CD9" w:rsidRDefault="00FC4CD9" w:rsidP="007C5F34">
      <w:pPr>
        <w:spacing w:after="0" w:line="240" w:lineRule="auto"/>
      </w:pPr>
    </w:p>
    <w:p w14:paraId="1327A449" w14:textId="77777777" w:rsidR="00FC4CD9" w:rsidRDefault="00000000" w:rsidP="007C5F34">
      <w:pPr>
        <w:spacing w:after="0" w:line="240" w:lineRule="auto"/>
      </w:pPr>
      <w:r>
        <w:t xml:space="preserve">This reuses the </w:t>
      </w:r>
      <w:r>
        <w:rPr>
          <w:rFonts w:ascii="Consolas" w:hAnsi="Consolas"/>
          <w:color w:val="8A3F1E"/>
          <w:sz w:val="20"/>
        </w:rPr>
        <w:t>.candle.meta</w:t>
      </w:r>
      <w:r>
        <w:t xml:space="preserve">-driven normalization introduced in §2.1 for a production purpose: a </w:t>
      </w:r>
      <w:r>
        <w:rPr>
          <w:rFonts w:ascii="Consolas" w:hAnsi="Consolas"/>
          <w:color w:val="8A3F1E"/>
          <w:sz w:val="20"/>
        </w:rPr>
        <w:t>both</w:t>
      </w:r>
      <w:r>
        <w:t xml:space="preserve">-direction pattern's native </w:t>
      </w:r>
      <w:r>
        <w:rPr>
          <w:rFonts w:ascii="Consolas" w:hAnsi="Consolas"/>
          <w:color w:val="8A3F1E"/>
          <w:sz w:val="20"/>
        </w:rPr>
        <w:t>-100</w:t>
      </w:r>
      <w:r>
        <w:t>/</w:t>
      </w:r>
      <w:r>
        <w:rPr>
          <w:rFonts w:ascii="Consolas" w:hAnsi="Consolas"/>
          <w:color w:val="8A3F1E"/>
          <w:sz w:val="20"/>
        </w:rPr>
        <w:t>0</w:t>
      </w:r>
      <w:r>
        <w:t>/</w:t>
      </w:r>
      <w:r>
        <w:rPr>
          <w:rFonts w:ascii="Consolas" w:hAnsi="Consolas"/>
          <w:color w:val="8A3F1E"/>
          <w:sz w:val="20"/>
        </w:rPr>
        <w:t>100</w:t>
      </w:r>
      <w:r>
        <w:t xml:space="preserve"> output is simply divided down to </w:t>
      </w:r>
      <w:r>
        <w:rPr>
          <w:rFonts w:ascii="Consolas" w:hAnsi="Consolas"/>
          <w:color w:val="8A3F1E"/>
          <w:sz w:val="20"/>
        </w:rPr>
        <w:t>-1</w:t>
      </w:r>
      <w:r>
        <w:t>/</w:t>
      </w:r>
      <w:r>
        <w:rPr>
          <w:rFonts w:ascii="Consolas" w:hAnsi="Consolas"/>
          <w:color w:val="8A3F1E"/>
          <w:sz w:val="20"/>
        </w:rPr>
        <w:t>0</w:t>
      </w:r>
      <w:r>
        <w:t>/</w:t>
      </w:r>
      <w:r>
        <w:rPr>
          <w:rFonts w:ascii="Consolas" w:hAnsi="Consolas"/>
          <w:color w:val="8A3F1E"/>
          <w:sz w:val="20"/>
        </w:rPr>
        <w:t>1</w:t>
      </w:r>
      <w:r>
        <w:t xml:space="preserve">; a </w:t>
      </w:r>
      <w:r>
        <w:rPr>
          <w:rFonts w:ascii="Consolas" w:hAnsi="Consolas"/>
          <w:color w:val="8A3F1E"/>
          <w:sz w:val="20"/>
        </w:rPr>
        <w:t>bullish</w:t>
      </w:r>
      <w:r>
        <w:t xml:space="preserve">-only pattern's boolean "present" vector becomes </w:t>
      </w:r>
      <w:r>
        <w:rPr>
          <w:rFonts w:ascii="Consolas" w:hAnsi="Consolas"/>
          <w:color w:val="8A3F1E"/>
          <w:sz w:val="20"/>
        </w:rPr>
        <w:t>1f*0&lt;&gt;raw</w:t>
      </w:r>
      <w:r>
        <w:t xml:space="preserve"> (fired → </w:t>
      </w:r>
      <w:r>
        <w:rPr>
          <w:rFonts w:ascii="Consolas" w:hAnsi="Consolas"/>
          <w:color w:val="8A3F1E"/>
          <w:sz w:val="20"/>
        </w:rPr>
        <w:t>+1</w:t>
      </w:r>
      <w:r>
        <w:t xml:space="preserve">, otherwise </w:t>
      </w:r>
      <w:r>
        <w:rPr>
          <w:rFonts w:ascii="Consolas" w:hAnsi="Consolas"/>
          <w:color w:val="8A3F1E"/>
          <w:sz w:val="20"/>
        </w:rPr>
        <w:t>0</w:t>
      </w:r>
      <w:r>
        <w:t xml:space="preserve">); </w:t>
      </w:r>
      <w:r>
        <w:rPr>
          <w:rFonts w:ascii="Consolas" w:hAnsi="Consolas"/>
          <w:color w:val="8A3F1E"/>
          <w:sz w:val="20"/>
        </w:rPr>
        <w:t>bearish</w:t>
      </w:r>
      <w:r>
        <w:t xml:space="preserve"> mirrors it into the negative range; a </w:t>
      </w:r>
      <w:r>
        <w:rPr>
          <w:rFonts w:ascii="Consolas" w:hAnsi="Consolas"/>
          <w:color w:val="8A3F1E"/>
          <w:sz w:val="20"/>
        </w:rPr>
        <w:t>neutral</w:t>
      </w:r>
      <w:r>
        <w:t xml:space="preserve"> pattern (pure indecision, e.g. </w:t>
      </w:r>
      <w:r>
        <w:rPr>
          <w:rFonts w:ascii="Consolas" w:hAnsi="Consolas"/>
          <w:color w:val="8A3F1E"/>
          <w:sz w:val="20"/>
        </w:rPr>
        <w:t>doji</w:t>
      </w:r>
      <w:r>
        <w:t xml:space="preserve">) always contributes exactly </w:t>
      </w:r>
      <w:r>
        <w:rPr>
          <w:rFonts w:ascii="Consolas" w:hAnsi="Consolas"/>
          <w:color w:val="8A3F1E"/>
          <w:sz w:val="20"/>
        </w:rPr>
        <w:t>0</w:t>
      </w:r>
      <w:r>
        <w:t xml:space="preserve"> — retained in the scan for completeness rather than because it is a sensible standalone trading signal, consistent with the referenced analysis's own point that a single indicator does not, by itself, constitute a trading decision. A fired pattern signals for exactly the one bar on which it was detected — this batch engine implements no decay period — so a candle-based strategy composes more naturally with </w:t>
      </w:r>
      <w:r>
        <w:rPr>
          <w:rFonts w:ascii="Consolas" w:hAnsi="Consolas"/>
          <w:color w:val="8A3F1E"/>
          <w:sz w:val="20"/>
        </w:rPr>
        <w:t>.bt.execution.twap</w:t>
      </w:r>
      <w:r>
        <w:t xml:space="preserve"> (phasing a position in or out around the signal) than with a strategy that snaps to the signal for a single bar:</w:t>
      </w:r>
    </w:p>
    <w:p w14:paraId="72D63D9D" w14:textId="77777777" w:rsidR="00FC4CD9" w:rsidRDefault="00000000" w:rsidP="007C5F34">
      <w:pPr>
        <w:spacing w:after="0" w:line="240" w:lineRule="auto"/>
        <w:jc w:val="center"/>
      </w:pPr>
      <w:r>
        <w:rPr>
          <w:noProof/>
        </w:rPr>
        <w:drawing>
          <wp:inline distT="0" distB="0" distL="0" distR="0" wp14:anchorId="51699206" wp14:editId="5A13DFAC">
            <wp:extent cx="4937760" cy="108321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14_run-invocation.png"/>
                    <pic:cNvPicPr/>
                  </pic:nvPicPr>
                  <pic:blipFill>
                    <a:blip r:embed="rId33"/>
                    <a:stretch>
                      <a:fillRect/>
                    </a:stretch>
                  </pic:blipFill>
                  <pic:spPr>
                    <a:xfrm>
                      <a:off x="0" y="0"/>
                      <a:ext cx="4937760" cy="1083212"/>
                    </a:xfrm>
                    <a:prstGeom prst="rect">
                      <a:avLst/>
                    </a:prstGeom>
                  </pic:spPr>
                </pic:pic>
              </a:graphicData>
            </a:graphic>
          </wp:inline>
        </w:drawing>
      </w:r>
    </w:p>
    <w:p w14:paraId="2006999D" w14:textId="77777777" w:rsidR="00FC4CD9" w:rsidRDefault="00FC4CD9" w:rsidP="007C5F34">
      <w:pPr>
        <w:spacing w:after="0" w:line="240" w:lineRule="auto"/>
      </w:pPr>
    </w:p>
    <w:p w14:paraId="383FCCF7" w14:textId="77777777" w:rsidR="00FC4CD9" w:rsidRDefault="00000000" w:rsidP="007C5F34">
      <w:pPr>
        <w:spacing w:after="0" w:line="240" w:lineRule="auto"/>
      </w:pPr>
      <w:r>
        <w:rPr>
          <w:b/>
          <w:color w:val="2F5F8A"/>
          <w:sz w:val="30"/>
        </w:rPr>
        <w:t>9. Threats to Validity and Known Limitations</w:t>
      </w:r>
    </w:p>
    <w:p w14:paraId="02A6EAAA" w14:textId="77777777" w:rsidR="00FC4CD9" w:rsidRDefault="00000000" w:rsidP="007C5F34">
      <w:pPr>
        <w:pStyle w:val="ListBullet"/>
        <w:spacing w:after="0" w:line="240" w:lineRule="auto"/>
      </w:pPr>
      <w:r>
        <w:rPr>
          <w:b/>
        </w:rPr>
        <w:t>`kicking` fires without a genuine gap in most cases, across every instrument examined.</w:t>
      </w:r>
      <w:r>
        <w:t xml:space="preserve"> 67.4% of AAPL's fires had no real gap; MSFT/GOOGL/AMZN/NVDA/TSLA all fall within the same 68–74% range. Not remediated in this study.</w:t>
      </w:r>
    </w:p>
    <w:p w14:paraId="58852172" w14:textId="77777777" w:rsidR="00FC4CD9" w:rsidRDefault="00000000" w:rsidP="007C5F34">
      <w:pPr>
        <w:pStyle w:val="ListBullet"/>
        <w:spacing w:after="0" w:line="240" w:lineRule="auto"/>
      </w:pPr>
      <w:r>
        <w:rPr>
          <w:b/>
        </w:rPr>
        <w:t>Thresholds are tunable but not independently validated.</w:t>
      </w:r>
      <w:r>
        <w:t xml:space="preserve"> </w:t>
      </w:r>
      <w:r>
        <w:rPr>
          <w:rFonts w:ascii="Consolas" w:hAnsi="Consolas"/>
          <w:color w:val="8A3F1E"/>
          <w:sz w:val="20"/>
        </w:rPr>
        <w:t>candle.q</w:t>
      </w:r>
      <w:r>
        <w:t xml:space="preserve">'s </w:t>
      </w:r>
      <w:r>
        <w:rPr>
          <w:rFonts w:ascii="Consolas" w:hAnsi="Consolas"/>
          <w:color w:val="8A3F1E"/>
          <w:sz w:val="20"/>
        </w:rPr>
        <w:t>BodyLong</w:t>
      </w:r>
      <w:r>
        <w:t>/</w:t>
      </w:r>
      <w:r>
        <w:rPr>
          <w:rFonts w:ascii="Consolas" w:hAnsi="Consolas"/>
          <w:color w:val="8A3F1E"/>
          <w:sz w:val="20"/>
        </w:rPr>
        <w:t>ShadowShort</w:t>
      </w:r>
      <w:r>
        <w:t xml:space="preserve">/etc. defaults originate from the upstream port, not from a fitted study against real market data — the same caveat the </w:t>
      </w:r>
      <w:r>
        <w:rPr>
          <w:rFonts w:ascii="Consolas" w:hAnsi="Consolas"/>
          <w:color w:val="8A3F1E"/>
          <w:sz w:val="20"/>
        </w:rPr>
        <w:t>primeFinance</w:t>
      </w:r>
      <w:r>
        <w:t xml:space="preserve"> article raises about its own hand-set weights.</w:t>
      </w:r>
    </w:p>
    <w:p w14:paraId="0660FA45" w14:textId="77777777" w:rsidR="00FC4CD9" w:rsidRDefault="00000000" w:rsidP="007C5F34">
      <w:pPr>
        <w:pStyle w:val="ListBullet"/>
        <w:spacing w:after="0" w:line="240" w:lineRule="auto"/>
      </w:pPr>
      <w:r>
        <w:rPr>
          <w:b/>
        </w:rPr>
        <w:t>Six issuers, one crash, one window does not constitute a backtest on its own</w:t>
      </w:r>
      <w:r>
        <w:t xml:space="preserve"> — which is exactly why §7 extends the question to the library's full directional vocabulary across full real history rather than resting the case on §4.2 alone. The cross-sectional comparison in §4.2 remains confined to a single historical event and a narrow window around each issuer's own low; §7's forward-return test is the broader, statistically-framed version of the same question, and it does not come back more favorably.</w:t>
      </w:r>
    </w:p>
    <w:p w14:paraId="516DEA1A" w14:textId="77777777" w:rsidR="00FC4CD9" w:rsidRDefault="00000000" w:rsidP="007C5F34">
      <w:pPr>
        <w:pStyle w:val="ListBullet"/>
        <w:spacing w:after="0" w:line="240" w:lineRule="auto"/>
      </w:pPr>
      <w:r>
        <w:rPr>
          <w:b/>
        </w:rPr>
        <w:t>The §7 t-statistics likely overstate precision.</w:t>
      </w:r>
      <w:r>
        <w:t xml:space="preserve"> They treat each fire's forward return as an independent observation, but consecutive daily fires' 5- and 10-day return windows overlap heavily, and different patterns frequently fire on the same date — so the effective sample size behind each t-stat is smaller than its raw </w:t>
      </w:r>
      <w:r>
        <w:rPr>
          <w:rFonts w:ascii="Consolas" w:hAnsi="Consolas"/>
          <w:color w:val="8A3F1E"/>
          <w:sz w:val="20"/>
        </w:rPr>
        <w:t>n</w:t>
      </w:r>
      <w:r>
        <w:t xml:space="preserve"> suggests. This was not corrected for (e.g., no Newey-West-style adjustment). Since none of the 105 comparisons cleared even the uncorrected Bonferroni bar, accounting for this properly would only weaken the case for a real edge further, not strengthen it — but it is a real limitation of the test as run, not a detail to gloss over.</w:t>
      </w:r>
    </w:p>
    <w:p w14:paraId="00BADAC4" w14:textId="77777777" w:rsidR="00FC4CD9" w:rsidRDefault="00000000" w:rsidP="007C5F34">
      <w:pPr>
        <w:pStyle w:val="ListBullet"/>
        <w:spacing w:after="0" w:line="240" w:lineRule="auto"/>
      </w:pPr>
      <w:r>
        <w:rPr>
          <w:b/>
        </w:rPr>
        <w:lastRenderedPageBreak/>
        <w:t>No decay period.</w:t>
      </w:r>
      <w:r>
        <w:t xml:space="preserve"> A fired pattern's signal exists for exactly the bar on which it fired; </w:t>
      </w:r>
      <w:r>
        <w:rPr>
          <w:rFonts w:ascii="Consolas" w:hAnsi="Consolas"/>
          <w:color w:val="8A3F1E"/>
          <w:sz w:val="20"/>
        </w:rPr>
        <w:t>.bt.execution.twap</w:t>
      </w:r>
      <w:r>
        <w:t xml:space="preserve"> mitigates, rather than resolves, this constraint for strategies wanting a longer-lived position from a single-bar signal.</w:t>
      </w:r>
    </w:p>
    <w:p w14:paraId="1B673339" w14:textId="77777777" w:rsidR="00FC4CD9" w:rsidRDefault="00000000" w:rsidP="007C5F34">
      <w:pPr>
        <w:pStyle w:val="ListBullet"/>
        <w:spacing w:after="0" w:line="240" w:lineRule="auto"/>
      </w:pPr>
      <w:r>
        <w:rPr>
          <w:b/>
        </w:rPr>
        <w:t>The remaining 21 patterns were not individually re-verified in this study.</w:t>
      </w:r>
      <w:r>
        <w:t xml:space="preserve"> </w:t>
      </w:r>
      <w:r>
        <w:rPr>
          <w:rFonts w:ascii="Consolas" w:hAnsi="Consolas"/>
          <w:color w:val="8A3F1E"/>
          <w:sz w:val="20"/>
        </w:rPr>
        <w:t>kicking</w:t>
      </w:r>
      <w:r>
        <w:t xml:space="preserve">'s gap requirement and the hammer/hangingMan trend split were examined in depth; the remaining patterns are exercised by the existing 32-pattern smoke test (all patterns execute without error and produce non-empty results) but were not each individually checked against a known historical pattern occurrence, as </w:t>
      </w:r>
      <w:r>
        <w:rPr>
          <w:rFonts w:ascii="Consolas" w:hAnsi="Consolas"/>
          <w:color w:val="8A3F1E"/>
          <w:sz w:val="20"/>
        </w:rPr>
        <w:t>hammer</w:t>
      </w:r>
      <w:r>
        <w:t>/</w:t>
      </w:r>
      <w:r>
        <w:rPr>
          <w:rFonts w:ascii="Consolas" w:hAnsi="Consolas"/>
          <w:color w:val="8A3F1E"/>
          <w:sz w:val="20"/>
        </w:rPr>
        <w:t>morningStar</w:t>
      </w:r>
      <w:r>
        <w:t xml:space="preserve"> were here.</w:t>
      </w:r>
    </w:p>
    <w:p w14:paraId="6124D704" w14:textId="77777777" w:rsidR="007C5F34" w:rsidRDefault="007C5F34" w:rsidP="007C5F34">
      <w:pPr>
        <w:spacing w:after="0" w:line="240" w:lineRule="auto"/>
        <w:rPr>
          <w:b/>
          <w:color w:val="2F5F8A"/>
          <w:sz w:val="30"/>
        </w:rPr>
      </w:pPr>
    </w:p>
    <w:p w14:paraId="5D599A77" w14:textId="77777777" w:rsidR="00FC4CD9" w:rsidRDefault="00000000" w:rsidP="007C5F34">
      <w:pPr>
        <w:spacing w:after="0" w:line="240" w:lineRule="auto"/>
      </w:pPr>
      <w:r>
        <w:rPr>
          <w:b/>
          <w:color w:val="2F5F8A"/>
          <w:sz w:val="30"/>
        </w:rPr>
        <w:t>10. Conclusion</w:t>
      </w:r>
    </w:p>
    <w:p w14:paraId="5187BFDD" w14:textId="77777777" w:rsidR="007C5F34" w:rsidRDefault="00000000" w:rsidP="007C5F34">
      <w:pPr>
        <w:spacing w:after="0" w:line="240" w:lineRule="auto"/>
      </w:pPr>
      <w:r>
        <w:t>The analysis this study is modeled on treats a candlestick pattern correctly: as a real, checkable geometric fact about a small number of bars, worth exactly as much as the context surrounding it and no more. Porting that framing into kdb+/q did not alter the underlying theory — the same 32 TA-Lib-style patterns, the same signed convention, the same "hammer and hanging man are one shape read two ways" logic — but it did surface two categories of problem a Python wrapper around a mature C library is never exposed to: eleven categories of build-specific defects unrelated to candlestick theory, and one genuine, metadata-contradicting defect (</w:t>
      </w:r>
      <w:r>
        <w:rPr>
          <w:rFonts w:ascii="Consolas" w:hAnsi="Consolas"/>
          <w:color w:val="8A3F1E"/>
          <w:sz w:val="20"/>
        </w:rPr>
        <w:t>kicking</w:t>
      </w:r>
      <w:r>
        <w:t xml:space="preserve">'s incomplete gap check) visible only when a library's own claims about a pattern are checked against what its code actually computes. Both categories were found the same way — by executing the code against real data and reporting what it </w:t>
      </w:r>
      <w:proofErr w:type="gramStart"/>
      <w:r>
        <w:t>actually does</w:t>
      </w:r>
      <w:proofErr w:type="gramEnd"/>
      <w:r>
        <w:t xml:space="preserve">, including results that do not favor the port. </w:t>
      </w:r>
    </w:p>
    <w:p w14:paraId="5FD86C0E" w14:textId="77777777" w:rsidR="007C5F34" w:rsidRDefault="007C5F34" w:rsidP="007C5F34">
      <w:pPr>
        <w:spacing w:after="0" w:line="240" w:lineRule="auto"/>
      </w:pPr>
    </w:p>
    <w:p w14:paraId="0CB64F13" w14:textId="77777777" w:rsidR="00FC4CD9" w:rsidRDefault="00000000" w:rsidP="007C5F34">
      <w:pPr>
        <w:spacing w:after="0" w:line="240" w:lineRule="auto"/>
      </w:pPr>
      <w:r>
        <w:t xml:space="preserve">Both findings also held up under the same test once extended beyond a single instrument: </w:t>
      </w:r>
      <w:r>
        <w:rPr>
          <w:rFonts w:ascii="Consolas" w:hAnsi="Consolas"/>
          <w:color w:val="8A3F1E"/>
          <w:sz w:val="20"/>
        </w:rPr>
        <w:t>kicking</w:t>
      </w:r>
      <w:r>
        <w:t>'s incomplete gap check was not an AAPL-specific artifact but held consistently across six real instruments; AAPL's clean hammer-on-the-low result was, by contrast, the artifact — the remaining five instruments mostly did not produce a clean confirmation at all, and two produced the wrong direction entirely. A single convincing example is grounds to investigate further, not grounds to stop.</w:t>
      </w:r>
    </w:p>
    <w:p w14:paraId="4904344A" w14:textId="77777777" w:rsidR="00FC4CD9" w:rsidRDefault="00000000" w:rsidP="007C5F34">
      <w:pPr>
        <w:spacing w:after="0" w:line="240" w:lineRule="auto"/>
      </w:pPr>
      <w:r>
        <w:t xml:space="preserve">Pushed one step further still — from six instruments and one crash to the library's full directional vocabulary against full real history — the same discipline produced the same kind of answer. §7's 87,301 real fires and 105 pattern×side×horizon comparisons found, at most, a barely detectable pooled directional edge (52% versus a 50% coin flip) and not one individual pattern whose conditional-mean forward return survives correction for how many comparisons were run — including </w:t>
      </w:r>
      <w:r>
        <w:rPr>
          <w:rFonts w:ascii="Consolas" w:hAnsi="Consolas"/>
          <w:color w:val="8A3F1E"/>
          <w:sz w:val="20"/>
        </w:rPr>
        <w:t>hammer</w:t>
      </w:r>
      <w:r>
        <w:t xml:space="preserve"> itself, whose single precise hit at the 2020 low does not generalize into a measurable average edge across its 1,336 real fires. None of this overturns anything claimed earlier in this piece; it sharpens it. A pattern can be exactly what §3 says it is — a real, checkable geometric fact — and still carry, on average, close to none of the forward-looking information its name implies. That is not a reason to discard the library; it is the reason </w:t>
      </w:r>
      <w:r>
        <w:rPr>
          <w:rFonts w:ascii="Consolas" w:hAnsi="Consolas"/>
          <w:color w:val="8A3F1E"/>
          <w:sz w:val="20"/>
        </w:rPr>
        <w:t>.bt.alphas.candlePattern</w:t>
      </w:r>
      <w:r>
        <w:t xml:space="preserve"> in §8 exists as one signal among several rather than a standalone forecaster, and it is the same caution the source analysis this study began from stated in one sentence: these are indicators, used with other indicators.</w:t>
      </w:r>
    </w:p>
    <w:sectPr w:rsidR="00FC4CD9"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A4CF6B0"/>
    <w:lvl w:ilvl="0">
      <w:start w:val="1"/>
      <w:numFmt w:val="bullet"/>
      <w:pStyle w:val="ListBullet"/>
      <w:lvlText w:val=""/>
      <w:lvlJc w:val="left"/>
      <w:pPr>
        <w:tabs>
          <w:tab w:val="num" w:pos="360"/>
        </w:tabs>
        <w:ind w:left="360" w:hanging="360"/>
      </w:pPr>
      <w:rPr>
        <w:rFonts w:ascii="Symbol" w:hAnsi="Symbol" w:hint="default"/>
      </w:rPr>
    </w:lvl>
  </w:abstractNum>
  <w:num w:numId="1" w16cid:durableId="1049695385">
    <w:abstractNumId w:val="8"/>
  </w:num>
  <w:num w:numId="2" w16cid:durableId="1429231315">
    <w:abstractNumId w:val="6"/>
  </w:num>
  <w:num w:numId="3" w16cid:durableId="182792450">
    <w:abstractNumId w:val="5"/>
  </w:num>
  <w:num w:numId="4" w16cid:durableId="341013511">
    <w:abstractNumId w:val="4"/>
  </w:num>
  <w:num w:numId="5" w16cid:durableId="534733807">
    <w:abstractNumId w:val="7"/>
  </w:num>
  <w:num w:numId="6" w16cid:durableId="937714444">
    <w:abstractNumId w:val="3"/>
  </w:num>
  <w:num w:numId="7" w16cid:durableId="1778720068">
    <w:abstractNumId w:val="2"/>
  </w:num>
  <w:num w:numId="8" w16cid:durableId="669525006">
    <w:abstractNumId w:val="1"/>
  </w:num>
  <w:num w:numId="9" w16cid:durableId="1841001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465"/>
    <w:rsid w:val="0029639D"/>
    <w:rsid w:val="00326F90"/>
    <w:rsid w:val="005D7FEB"/>
    <w:rsid w:val="007C5F34"/>
    <w:rsid w:val="008C145A"/>
    <w:rsid w:val="00952D2F"/>
    <w:rsid w:val="00AA1D8D"/>
    <w:rsid w:val="00B47730"/>
    <w:rsid w:val="00CB0664"/>
    <w:rsid w:val="00D21205"/>
    <w:rsid w:val="00D93EC5"/>
    <w:rsid w:val="00FC4C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9B1F5B"/>
  <w14:defaultImageDpi w14:val="300"/>
  <w15:docId w15:val="{216E49B0-441B-475E-AD0F-639717858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7" w:lineRule="auto"/>
    </w:pPr>
    <w:rPr>
      <w:rFonts w:ascii="Calibri" w:hAnsi="Calibri"/>
      <w:color w:val="202A3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C5F3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hyperlink" Target="https://dataintellect.com/blog/identifying-japanese-candle-sticks-using-python/" TargetMode="External"/><Relationship Id="rId11" Type="http://schemas.openxmlformats.org/officeDocument/2006/relationships/hyperlink" Target="https://github.com/SpencerFX/openQ" TargetMode="External"/><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14</Pages>
  <Words>4210</Words>
  <Characters>23997</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 Pr</cp:lastModifiedBy>
  <cp:revision>6</cp:revision>
  <dcterms:created xsi:type="dcterms:W3CDTF">2013-12-23T23:15:00Z</dcterms:created>
  <dcterms:modified xsi:type="dcterms:W3CDTF">2026-09-05T04:33:00Z</dcterms:modified>
  <cp:category/>
</cp:coreProperties>
</file>