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B735E" w14:textId="77777777" w:rsidR="004A43BD" w:rsidRPr="004A43BD" w:rsidRDefault="004A43BD" w:rsidP="004A43BD">
      <w:r w:rsidRPr="004A43BD">
        <w:rPr>
          <w:b/>
          <w:bCs/>
        </w:rPr>
        <w:t>Company:</w:t>
      </w:r>
      <w:r w:rsidRPr="004A43BD">
        <w:t xml:space="preserve"> New York Law</w:t>
      </w:r>
      <w:r w:rsidRPr="004A43BD">
        <w:br/>
      </w:r>
      <w:r w:rsidRPr="004A43BD">
        <w:rPr>
          <w:b/>
          <w:bCs/>
        </w:rPr>
        <w:t>Email:</w:t>
      </w:r>
      <w:r w:rsidRPr="004A43BD">
        <w:t xml:space="preserve"> info@nylawfirm.com</w:t>
      </w:r>
      <w:r w:rsidRPr="004A43BD">
        <w:br/>
      </w:r>
      <w:r w:rsidRPr="004A43BD">
        <w:rPr>
          <w:b/>
          <w:bCs/>
        </w:rPr>
        <w:t>Phone:</w:t>
      </w:r>
      <w:r w:rsidRPr="004A43BD">
        <w:t xml:space="preserve"> (212) 555-0190</w:t>
      </w:r>
      <w:r w:rsidRPr="004A43BD">
        <w:br/>
      </w:r>
      <w:r w:rsidRPr="004A43BD">
        <w:rPr>
          <w:b/>
          <w:bCs/>
        </w:rPr>
        <w:t>Address:</w:t>
      </w:r>
      <w:r w:rsidRPr="004A43BD">
        <w:t xml:space="preserve"> 123 Lexington Avenue, New York, NY 10016</w:t>
      </w:r>
    </w:p>
    <w:p w14:paraId="3805AB13" w14:textId="77777777" w:rsidR="004A43BD" w:rsidRPr="004A43BD" w:rsidRDefault="004A43BD" w:rsidP="004A43BD">
      <w:r w:rsidRPr="004A43BD">
        <w:rPr>
          <w:b/>
          <w:bCs/>
        </w:rPr>
        <w:t>Report Name:</w:t>
      </w:r>
      <w:r w:rsidRPr="004A43BD">
        <w:t xml:space="preserve"> New York Law Audit</w:t>
      </w:r>
      <w:r w:rsidRPr="004A43BD">
        <w:br/>
      </w:r>
      <w:r w:rsidRPr="004A43BD">
        <w:rPr>
          <w:b/>
          <w:bCs/>
        </w:rPr>
        <w:t>Report Description:</w:t>
      </w:r>
      <w:r w:rsidRPr="004A43BD">
        <w:t xml:space="preserve"> New York Law compliance audit of administrative remedy practices</w:t>
      </w:r>
      <w:r w:rsidRPr="004A43BD">
        <w:br/>
      </w:r>
      <w:r w:rsidRPr="004A43BD">
        <w:rPr>
          <w:b/>
          <w:bCs/>
        </w:rPr>
        <w:t>Report Date:</w:t>
      </w:r>
      <w:r w:rsidRPr="004A43BD">
        <w:t xml:space="preserve"> October 26, 2025</w:t>
      </w:r>
    </w:p>
    <w:p w14:paraId="4C80CE25" w14:textId="77777777" w:rsidR="004A43BD" w:rsidRPr="004A43BD" w:rsidRDefault="004A43BD" w:rsidP="004A43BD">
      <w:r w:rsidRPr="004A43BD">
        <w:pict w14:anchorId="47667935">
          <v:rect id="_x0000_i1067" style="width:0;height:1.5pt" o:hralign="center" o:hrstd="t" o:hr="t" fillcolor="#a0a0a0" stroked="f"/>
        </w:pict>
      </w:r>
    </w:p>
    <w:p w14:paraId="04713DE8" w14:textId="77777777" w:rsidR="004A43BD" w:rsidRPr="004A43BD" w:rsidRDefault="004A43BD" w:rsidP="004A43BD">
      <w:pPr>
        <w:rPr>
          <w:b/>
          <w:bCs/>
        </w:rPr>
      </w:pPr>
      <w:r w:rsidRPr="004A43BD">
        <w:rPr>
          <w:b/>
          <w:bCs/>
        </w:rPr>
        <w:t xml:space="preserve">Entity / </w:t>
      </w:r>
      <w:proofErr w:type="spellStart"/>
      <w:r w:rsidRPr="004A43BD">
        <w:rPr>
          <w:b/>
          <w:bCs/>
        </w:rPr>
        <w:t>Controlset</w:t>
      </w:r>
      <w:proofErr w:type="spellEnd"/>
    </w:p>
    <w:p w14:paraId="0760A64E" w14:textId="77777777" w:rsidR="004A43BD" w:rsidRPr="004A43BD" w:rsidRDefault="004A43BD" w:rsidP="004A43BD">
      <w:r w:rsidRPr="004A43BD">
        <w:rPr>
          <w:b/>
          <w:bCs/>
        </w:rPr>
        <w:t>Entity Name:</w:t>
      </w:r>
      <w:r w:rsidRPr="004A43BD">
        <w:t xml:space="preserve"> New York Law</w:t>
      </w:r>
      <w:r w:rsidRPr="004A43BD">
        <w:br/>
      </w:r>
      <w:proofErr w:type="spellStart"/>
      <w:r w:rsidRPr="004A43BD">
        <w:rPr>
          <w:b/>
          <w:bCs/>
        </w:rPr>
        <w:t>Controlset</w:t>
      </w:r>
      <w:proofErr w:type="spellEnd"/>
      <w:r w:rsidRPr="004A43BD">
        <w:rPr>
          <w:b/>
          <w:bCs/>
        </w:rPr>
        <w:t xml:space="preserve"> Name:</w:t>
      </w:r>
      <w:r w:rsidRPr="004A43BD">
        <w:t xml:space="preserve"> 10 CFR 13.46 – Compromise or Settlement</w:t>
      </w:r>
      <w:r w:rsidRPr="004A43BD">
        <w:br/>
      </w:r>
      <w:r w:rsidRPr="004A43BD">
        <w:rPr>
          <w:b/>
          <w:bCs/>
        </w:rPr>
        <w:t>Report Name:</w:t>
      </w:r>
      <w:r w:rsidRPr="004A43BD">
        <w:t xml:space="preserve"> Compliance Audit Report for New York Law</w:t>
      </w:r>
      <w:r w:rsidRPr="004A43BD">
        <w:br/>
      </w:r>
      <w:r w:rsidRPr="004A43BD">
        <w:rPr>
          <w:b/>
          <w:bCs/>
        </w:rPr>
        <w:t>Entity / Business Unit:</w:t>
      </w:r>
      <w:r w:rsidRPr="004A43BD">
        <w:t xml:space="preserve"> New York Law – Administrative Remedies Division</w:t>
      </w:r>
      <w:r w:rsidRPr="004A43BD">
        <w:br/>
      </w:r>
      <w:proofErr w:type="spellStart"/>
      <w:r w:rsidRPr="004A43BD">
        <w:rPr>
          <w:b/>
          <w:bCs/>
        </w:rPr>
        <w:t>Controlset</w:t>
      </w:r>
      <w:proofErr w:type="spellEnd"/>
      <w:r w:rsidRPr="004A43BD">
        <w:rPr>
          <w:b/>
          <w:bCs/>
        </w:rPr>
        <w:t xml:space="preserve"> Name:</w:t>
      </w:r>
      <w:r w:rsidRPr="004A43BD">
        <w:t xml:space="preserve"> Program Fraud Civil Remedies Standard</w:t>
      </w:r>
    </w:p>
    <w:p w14:paraId="21D8BA95" w14:textId="77777777" w:rsidR="004A43BD" w:rsidRPr="004A43BD" w:rsidRDefault="004A43BD" w:rsidP="004A43BD">
      <w:r w:rsidRPr="004A43BD">
        <w:t xml:space="preserve">New York Law’s compliance audit confirms full adherence to the requirements of 10 CFR 13.46, which governs the compromise or settlement of claims under the Nuclear Regulatory Commission administrative remedies program. </w:t>
      </w:r>
      <w:hyperlink r:id="rId5" w:tgtFrame="_blank" w:history="1">
        <w:r w:rsidRPr="004A43BD">
          <w:rPr>
            <w:rStyle w:val="Hyperlink"/>
          </w:rPr>
          <w:t>eCFR+2Legal Information Institute+2</w:t>
        </w:r>
      </w:hyperlink>
      <w:r w:rsidRPr="004A43BD">
        <w:t xml:space="preserve"> All review and settlement procedures were documented, required notifications to the Attorney General (and internal equivalents) were made, and settlement agreements were properly in writing. Internal audit identified no exceptions or delays in the settlement process.</w:t>
      </w:r>
    </w:p>
    <w:p w14:paraId="127A9B1B" w14:textId="77777777" w:rsidR="004A43BD" w:rsidRPr="004A43BD" w:rsidRDefault="004A43BD" w:rsidP="004A43BD">
      <w:r w:rsidRPr="004A43BD">
        <w:pict w14:anchorId="4144D3E0">
          <v:rect id="_x0000_i106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663"/>
        <w:gridCol w:w="1227"/>
        <w:gridCol w:w="776"/>
        <w:gridCol w:w="773"/>
        <w:gridCol w:w="2897"/>
        <w:gridCol w:w="677"/>
        <w:gridCol w:w="441"/>
        <w:gridCol w:w="790"/>
        <w:gridCol w:w="972"/>
      </w:tblGrid>
      <w:tr w:rsidR="004A43BD" w:rsidRPr="004A43BD" w14:paraId="72B60977" w14:textId="77777777">
        <w:trPr>
          <w:tblHeader/>
          <w:tblCellSpacing w:w="15" w:type="dxa"/>
        </w:trPr>
        <w:tc>
          <w:tcPr>
            <w:tcW w:w="0" w:type="auto"/>
            <w:vAlign w:val="center"/>
            <w:hideMark/>
          </w:tcPr>
          <w:p w14:paraId="049D1E66" w14:textId="77777777" w:rsidR="004A43BD" w:rsidRPr="004A43BD" w:rsidRDefault="004A43BD" w:rsidP="004A43BD">
            <w:pPr>
              <w:rPr>
                <w:b/>
                <w:bCs/>
              </w:rPr>
            </w:pPr>
            <w:r w:rsidRPr="004A43BD">
              <w:rPr>
                <w:b/>
                <w:bCs/>
              </w:rPr>
              <w:t>#</w:t>
            </w:r>
          </w:p>
        </w:tc>
        <w:tc>
          <w:tcPr>
            <w:tcW w:w="0" w:type="auto"/>
            <w:vAlign w:val="center"/>
            <w:hideMark/>
          </w:tcPr>
          <w:p w14:paraId="1AA3DC64" w14:textId="77777777" w:rsidR="004A43BD" w:rsidRPr="004A43BD" w:rsidRDefault="004A43BD" w:rsidP="004A43BD">
            <w:pPr>
              <w:rPr>
                <w:b/>
                <w:bCs/>
              </w:rPr>
            </w:pPr>
            <w:r w:rsidRPr="004A43BD">
              <w:rPr>
                <w:b/>
                <w:bCs/>
              </w:rPr>
              <w:t>CFR Reference</w:t>
            </w:r>
          </w:p>
        </w:tc>
        <w:tc>
          <w:tcPr>
            <w:tcW w:w="0" w:type="auto"/>
            <w:vAlign w:val="center"/>
            <w:hideMark/>
          </w:tcPr>
          <w:p w14:paraId="1B4A97AF" w14:textId="77777777" w:rsidR="004A43BD" w:rsidRPr="004A43BD" w:rsidRDefault="004A43BD" w:rsidP="004A43BD">
            <w:pPr>
              <w:rPr>
                <w:b/>
                <w:bCs/>
              </w:rPr>
            </w:pPr>
            <w:r w:rsidRPr="004A43BD">
              <w:rPr>
                <w:b/>
                <w:bCs/>
              </w:rPr>
              <w:t>Requirement Description</w:t>
            </w:r>
          </w:p>
        </w:tc>
        <w:tc>
          <w:tcPr>
            <w:tcW w:w="0" w:type="auto"/>
            <w:vAlign w:val="center"/>
            <w:hideMark/>
          </w:tcPr>
          <w:p w14:paraId="17A9E6A0" w14:textId="77777777" w:rsidR="004A43BD" w:rsidRPr="004A43BD" w:rsidRDefault="004A43BD" w:rsidP="004A43BD">
            <w:pPr>
              <w:rPr>
                <w:b/>
                <w:bCs/>
              </w:rPr>
            </w:pPr>
            <w:r w:rsidRPr="004A43BD">
              <w:rPr>
                <w:b/>
                <w:bCs/>
              </w:rPr>
              <w:t>Compliance Status</w:t>
            </w:r>
          </w:p>
        </w:tc>
        <w:tc>
          <w:tcPr>
            <w:tcW w:w="0" w:type="auto"/>
            <w:vAlign w:val="center"/>
            <w:hideMark/>
          </w:tcPr>
          <w:p w14:paraId="6C0137A1" w14:textId="77777777" w:rsidR="004A43BD" w:rsidRPr="004A43BD" w:rsidRDefault="004A43BD" w:rsidP="004A43BD">
            <w:pPr>
              <w:rPr>
                <w:b/>
                <w:bCs/>
              </w:rPr>
            </w:pPr>
            <w:r w:rsidRPr="004A43BD">
              <w:rPr>
                <w:b/>
                <w:bCs/>
              </w:rPr>
              <w:t>Evidence Summary</w:t>
            </w:r>
          </w:p>
        </w:tc>
        <w:tc>
          <w:tcPr>
            <w:tcW w:w="0" w:type="auto"/>
            <w:vAlign w:val="center"/>
            <w:hideMark/>
          </w:tcPr>
          <w:p w14:paraId="05BFFB7A" w14:textId="77777777" w:rsidR="004A43BD" w:rsidRPr="004A43BD" w:rsidRDefault="004A43BD" w:rsidP="004A43BD">
            <w:pPr>
              <w:rPr>
                <w:b/>
                <w:bCs/>
              </w:rPr>
            </w:pPr>
            <w:r w:rsidRPr="004A43BD">
              <w:rPr>
                <w:b/>
                <w:bCs/>
              </w:rPr>
              <w:t>Evidence Document</w:t>
            </w:r>
          </w:p>
        </w:tc>
        <w:tc>
          <w:tcPr>
            <w:tcW w:w="0" w:type="auto"/>
            <w:vAlign w:val="center"/>
            <w:hideMark/>
          </w:tcPr>
          <w:p w14:paraId="311F1EA9" w14:textId="77777777" w:rsidR="004A43BD" w:rsidRPr="004A43BD" w:rsidRDefault="004A43BD" w:rsidP="004A43BD">
            <w:pPr>
              <w:rPr>
                <w:b/>
                <w:bCs/>
              </w:rPr>
            </w:pPr>
            <w:r w:rsidRPr="004A43BD">
              <w:rPr>
                <w:b/>
                <w:bCs/>
              </w:rPr>
              <w:t>Frequency</w:t>
            </w:r>
          </w:p>
        </w:tc>
        <w:tc>
          <w:tcPr>
            <w:tcW w:w="0" w:type="auto"/>
            <w:vAlign w:val="center"/>
            <w:hideMark/>
          </w:tcPr>
          <w:p w14:paraId="11E7FABC" w14:textId="77777777" w:rsidR="004A43BD" w:rsidRPr="004A43BD" w:rsidRDefault="004A43BD" w:rsidP="004A43BD">
            <w:pPr>
              <w:rPr>
                <w:b/>
                <w:bCs/>
              </w:rPr>
            </w:pPr>
            <w:r w:rsidRPr="004A43BD">
              <w:rPr>
                <w:b/>
                <w:bCs/>
              </w:rPr>
              <w:t>Status</w:t>
            </w:r>
          </w:p>
        </w:tc>
        <w:tc>
          <w:tcPr>
            <w:tcW w:w="0" w:type="auto"/>
            <w:vAlign w:val="center"/>
            <w:hideMark/>
          </w:tcPr>
          <w:p w14:paraId="0B8AC0C3" w14:textId="77777777" w:rsidR="004A43BD" w:rsidRPr="004A43BD" w:rsidRDefault="004A43BD" w:rsidP="004A43BD">
            <w:pPr>
              <w:rPr>
                <w:b/>
                <w:bCs/>
              </w:rPr>
            </w:pPr>
            <w:r w:rsidRPr="004A43BD">
              <w:rPr>
                <w:b/>
                <w:bCs/>
              </w:rPr>
              <w:t>Responsible Team</w:t>
            </w:r>
          </w:p>
        </w:tc>
        <w:tc>
          <w:tcPr>
            <w:tcW w:w="0" w:type="auto"/>
            <w:vAlign w:val="center"/>
            <w:hideMark/>
          </w:tcPr>
          <w:p w14:paraId="6511B0BC" w14:textId="77777777" w:rsidR="004A43BD" w:rsidRPr="004A43BD" w:rsidRDefault="004A43BD" w:rsidP="004A43BD">
            <w:pPr>
              <w:rPr>
                <w:b/>
                <w:bCs/>
              </w:rPr>
            </w:pPr>
            <w:r w:rsidRPr="004A43BD">
              <w:rPr>
                <w:b/>
                <w:bCs/>
              </w:rPr>
              <w:t>Recommended Action</w:t>
            </w:r>
          </w:p>
        </w:tc>
      </w:tr>
      <w:tr w:rsidR="004A43BD" w:rsidRPr="004A43BD" w14:paraId="634C4343" w14:textId="77777777">
        <w:trPr>
          <w:tblCellSpacing w:w="15" w:type="dxa"/>
        </w:trPr>
        <w:tc>
          <w:tcPr>
            <w:tcW w:w="0" w:type="auto"/>
            <w:vAlign w:val="center"/>
            <w:hideMark/>
          </w:tcPr>
          <w:p w14:paraId="4C960D05" w14:textId="77777777" w:rsidR="004A43BD" w:rsidRPr="004A43BD" w:rsidRDefault="004A43BD" w:rsidP="004A43BD">
            <w:r w:rsidRPr="004A43BD">
              <w:t>1</w:t>
            </w:r>
          </w:p>
        </w:tc>
        <w:tc>
          <w:tcPr>
            <w:tcW w:w="0" w:type="auto"/>
            <w:vAlign w:val="center"/>
            <w:hideMark/>
          </w:tcPr>
          <w:p w14:paraId="337E5D25" w14:textId="77777777" w:rsidR="004A43BD" w:rsidRPr="004A43BD" w:rsidRDefault="004A43BD" w:rsidP="004A43BD">
            <w:r w:rsidRPr="004A43BD">
              <w:rPr>
                <w:b/>
                <w:bCs/>
              </w:rPr>
              <w:t>13.46(a)</w:t>
            </w:r>
          </w:p>
        </w:tc>
        <w:tc>
          <w:tcPr>
            <w:tcW w:w="0" w:type="auto"/>
            <w:vAlign w:val="center"/>
            <w:hideMark/>
          </w:tcPr>
          <w:p w14:paraId="11C8369A" w14:textId="77777777" w:rsidR="004A43BD" w:rsidRPr="004A43BD" w:rsidRDefault="004A43BD" w:rsidP="004A43BD">
            <w:r w:rsidRPr="004A43BD">
              <w:t xml:space="preserve">Parties may make offers of compromise or settlement </w:t>
            </w:r>
            <w:r w:rsidRPr="004A43BD">
              <w:lastRenderedPageBreak/>
              <w:t>at any time.</w:t>
            </w:r>
          </w:p>
        </w:tc>
        <w:tc>
          <w:tcPr>
            <w:tcW w:w="0" w:type="auto"/>
            <w:vAlign w:val="center"/>
            <w:hideMark/>
          </w:tcPr>
          <w:p w14:paraId="48E36379" w14:textId="77777777" w:rsidR="004A43BD" w:rsidRPr="004A43BD" w:rsidRDefault="004A43BD" w:rsidP="004A43BD">
            <w:r w:rsidRPr="004A43BD">
              <w:rPr>
                <w:b/>
                <w:bCs/>
              </w:rPr>
              <w:lastRenderedPageBreak/>
              <w:t>Compliant</w:t>
            </w:r>
          </w:p>
        </w:tc>
        <w:tc>
          <w:tcPr>
            <w:tcW w:w="0" w:type="auto"/>
            <w:vAlign w:val="center"/>
            <w:hideMark/>
          </w:tcPr>
          <w:p w14:paraId="566BF545" w14:textId="77777777" w:rsidR="004A43BD" w:rsidRPr="004A43BD" w:rsidRDefault="004A43BD" w:rsidP="004A43BD">
            <w:r w:rsidRPr="004A43BD">
              <w:t>Review of case files shows offers of settle</w:t>
            </w:r>
            <w:r w:rsidRPr="004A43BD">
              <w:lastRenderedPageBreak/>
              <w:t>ment documented at appropriate times.</w:t>
            </w:r>
          </w:p>
        </w:tc>
        <w:tc>
          <w:tcPr>
            <w:tcW w:w="0" w:type="auto"/>
            <w:vAlign w:val="center"/>
            <w:hideMark/>
          </w:tcPr>
          <w:p w14:paraId="06AD2984" w14:textId="77777777" w:rsidR="004A43BD" w:rsidRPr="004A43BD" w:rsidRDefault="004A43BD" w:rsidP="004A43BD">
            <w:r w:rsidRPr="004A43BD">
              <w:lastRenderedPageBreak/>
              <w:t>Settlement_Offers_Log_NYL_10.26.2025.xlsx</w:t>
            </w:r>
          </w:p>
        </w:tc>
        <w:tc>
          <w:tcPr>
            <w:tcW w:w="0" w:type="auto"/>
            <w:vAlign w:val="center"/>
            <w:hideMark/>
          </w:tcPr>
          <w:p w14:paraId="3C1E7170" w14:textId="77777777" w:rsidR="004A43BD" w:rsidRPr="004A43BD" w:rsidRDefault="004A43BD" w:rsidP="004A43BD">
            <w:r w:rsidRPr="004A43BD">
              <w:t>Per-case</w:t>
            </w:r>
          </w:p>
        </w:tc>
        <w:tc>
          <w:tcPr>
            <w:tcW w:w="0" w:type="auto"/>
            <w:vAlign w:val="center"/>
            <w:hideMark/>
          </w:tcPr>
          <w:p w14:paraId="76F2B046" w14:textId="77777777" w:rsidR="004A43BD" w:rsidRPr="004A43BD" w:rsidRDefault="004A43BD" w:rsidP="004A43BD">
            <w:r w:rsidRPr="004A43BD">
              <w:t>On Track</w:t>
            </w:r>
          </w:p>
        </w:tc>
        <w:tc>
          <w:tcPr>
            <w:tcW w:w="0" w:type="auto"/>
            <w:vAlign w:val="center"/>
            <w:hideMark/>
          </w:tcPr>
          <w:p w14:paraId="57615E6C" w14:textId="77777777" w:rsidR="004A43BD" w:rsidRPr="004A43BD" w:rsidRDefault="004A43BD" w:rsidP="004A43BD">
            <w:r w:rsidRPr="004A43BD">
              <w:t>Legal &amp; Compliance Team</w:t>
            </w:r>
          </w:p>
        </w:tc>
        <w:tc>
          <w:tcPr>
            <w:tcW w:w="0" w:type="auto"/>
            <w:vAlign w:val="center"/>
            <w:hideMark/>
          </w:tcPr>
          <w:p w14:paraId="4D702BC7" w14:textId="77777777" w:rsidR="004A43BD" w:rsidRPr="004A43BD" w:rsidRDefault="004A43BD" w:rsidP="004A43BD">
            <w:r w:rsidRPr="004A43BD">
              <w:t>Continue monitoring timing of offer entries.</w:t>
            </w:r>
          </w:p>
        </w:tc>
      </w:tr>
      <w:tr w:rsidR="004A43BD" w:rsidRPr="004A43BD" w14:paraId="594183F7" w14:textId="77777777">
        <w:trPr>
          <w:tblCellSpacing w:w="15" w:type="dxa"/>
        </w:trPr>
        <w:tc>
          <w:tcPr>
            <w:tcW w:w="0" w:type="auto"/>
            <w:vAlign w:val="center"/>
            <w:hideMark/>
          </w:tcPr>
          <w:p w14:paraId="7FBD5699" w14:textId="77777777" w:rsidR="004A43BD" w:rsidRPr="004A43BD" w:rsidRDefault="004A43BD" w:rsidP="004A43BD">
            <w:r w:rsidRPr="004A43BD">
              <w:t>2</w:t>
            </w:r>
          </w:p>
        </w:tc>
        <w:tc>
          <w:tcPr>
            <w:tcW w:w="0" w:type="auto"/>
            <w:vAlign w:val="center"/>
            <w:hideMark/>
          </w:tcPr>
          <w:p w14:paraId="1DB0360D" w14:textId="77777777" w:rsidR="004A43BD" w:rsidRPr="004A43BD" w:rsidRDefault="004A43BD" w:rsidP="004A43BD">
            <w:r w:rsidRPr="004A43BD">
              <w:rPr>
                <w:b/>
                <w:bCs/>
              </w:rPr>
              <w:t>13.46(b)</w:t>
            </w:r>
          </w:p>
        </w:tc>
        <w:tc>
          <w:tcPr>
            <w:tcW w:w="0" w:type="auto"/>
            <w:vAlign w:val="center"/>
            <w:hideMark/>
          </w:tcPr>
          <w:p w14:paraId="0C165DFA" w14:textId="77777777" w:rsidR="004A43BD" w:rsidRPr="004A43BD" w:rsidRDefault="004A43BD" w:rsidP="004A43BD">
            <w:r w:rsidRPr="004A43BD">
              <w:t xml:space="preserve">Reviewing </w:t>
            </w:r>
            <w:proofErr w:type="gramStart"/>
            <w:r w:rsidRPr="004A43BD">
              <w:t>official</w:t>
            </w:r>
            <w:proofErr w:type="gramEnd"/>
            <w:r w:rsidRPr="004A43BD">
              <w:t xml:space="preserve"> has exclusive authority to compromise or </w:t>
            </w:r>
            <w:proofErr w:type="gramStart"/>
            <w:r w:rsidRPr="004A43BD">
              <w:t>settle, and</w:t>
            </w:r>
            <w:proofErr w:type="gramEnd"/>
            <w:r w:rsidRPr="004A43BD">
              <w:t xml:space="preserve"> must notify the Attorney General in writing not later than 30 days before entering any settlement. </w:t>
            </w:r>
            <w:hyperlink r:id="rId6" w:tgtFrame="_blank" w:history="1">
              <w:r w:rsidRPr="004A43BD">
                <w:rPr>
                  <w:rStyle w:val="Hyperlink"/>
                </w:rPr>
                <w:t>Federal Register Public Inspection+1</w:t>
              </w:r>
            </w:hyperlink>
          </w:p>
        </w:tc>
        <w:tc>
          <w:tcPr>
            <w:tcW w:w="0" w:type="auto"/>
            <w:vAlign w:val="center"/>
            <w:hideMark/>
          </w:tcPr>
          <w:p w14:paraId="511FFDB6" w14:textId="77777777" w:rsidR="004A43BD" w:rsidRPr="004A43BD" w:rsidRDefault="004A43BD" w:rsidP="004A43BD">
            <w:r w:rsidRPr="004A43BD">
              <w:rPr>
                <w:b/>
                <w:bCs/>
              </w:rPr>
              <w:t>Compliant</w:t>
            </w:r>
          </w:p>
        </w:tc>
        <w:tc>
          <w:tcPr>
            <w:tcW w:w="0" w:type="auto"/>
            <w:vAlign w:val="center"/>
            <w:hideMark/>
          </w:tcPr>
          <w:p w14:paraId="53550A4E" w14:textId="77777777" w:rsidR="004A43BD" w:rsidRPr="004A43BD" w:rsidRDefault="004A43BD" w:rsidP="004A43BD">
            <w:r w:rsidRPr="004A43BD">
              <w:t>Written internal notifications present, and external counsel confirmed AG notification timeline was met.</w:t>
            </w:r>
          </w:p>
        </w:tc>
        <w:tc>
          <w:tcPr>
            <w:tcW w:w="0" w:type="auto"/>
            <w:vAlign w:val="center"/>
            <w:hideMark/>
          </w:tcPr>
          <w:p w14:paraId="00792E5A" w14:textId="77777777" w:rsidR="004A43BD" w:rsidRPr="004A43BD" w:rsidRDefault="004A43BD" w:rsidP="004A43BD">
            <w:r w:rsidRPr="004A43BD">
              <w:t>Notification_Correspondence_NYL_10.26.2025.pdf</w:t>
            </w:r>
          </w:p>
        </w:tc>
        <w:tc>
          <w:tcPr>
            <w:tcW w:w="0" w:type="auto"/>
            <w:vAlign w:val="center"/>
            <w:hideMark/>
          </w:tcPr>
          <w:p w14:paraId="43F3E845" w14:textId="77777777" w:rsidR="004A43BD" w:rsidRPr="004A43BD" w:rsidRDefault="004A43BD" w:rsidP="004A43BD">
            <w:r w:rsidRPr="004A43BD">
              <w:t>Per-case</w:t>
            </w:r>
          </w:p>
        </w:tc>
        <w:tc>
          <w:tcPr>
            <w:tcW w:w="0" w:type="auto"/>
            <w:vAlign w:val="center"/>
            <w:hideMark/>
          </w:tcPr>
          <w:p w14:paraId="7F227408" w14:textId="77777777" w:rsidR="004A43BD" w:rsidRPr="004A43BD" w:rsidRDefault="004A43BD" w:rsidP="004A43BD">
            <w:r w:rsidRPr="004A43BD">
              <w:t>On Track</w:t>
            </w:r>
          </w:p>
        </w:tc>
        <w:tc>
          <w:tcPr>
            <w:tcW w:w="0" w:type="auto"/>
            <w:vAlign w:val="center"/>
            <w:hideMark/>
          </w:tcPr>
          <w:p w14:paraId="67CA61D2" w14:textId="77777777" w:rsidR="004A43BD" w:rsidRPr="004A43BD" w:rsidRDefault="004A43BD" w:rsidP="004A43BD">
            <w:r w:rsidRPr="004A43BD">
              <w:t>Legal &amp; Compliance Team</w:t>
            </w:r>
          </w:p>
        </w:tc>
        <w:tc>
          <w:tcPr>
            <w:tcW w:w="0" w:type="auto"/>
            <w:vAlign w:val="center"/>
            <w:hideMark/>
          </w:tcPr>
          <w:p w14:paraId="5A17AC80" w14:textId="77777777" w:rsidR="004A43BD" w:rsidRPr="004A43BD" w:rsidRDefault="004A43BD" w:rsidP="004A43BD">
            <w:r w:rsidRPr="004A43BD">
              <w:t>Maintain current notification templates and filing log.</w:t>
            </w:r>
          </w:p>
        </w:tc>
      </w:tr>
      <w:tr w:rsidR="004A43BD" w:rsidRPr="004A43BD" w14:paraId="08AA2258" w14:textId="77777777">
        <w:trPr>
          <w:tblCellSpacing w:w="15" w:type="dxa"/>
        </w:trPr>
        <w:tc>
          <w:tcPr>
            <w:tcW w:w="0" w:type="auto"/>
            <w:vAlign w:val="center"/>
            <w:hideMark/>
          </w:tcPr>
          <w:p w14:paraId="41706FED" w14:textId="77777777" w:rsidR="004A43BD" w:rsidRPr="004A43BD" w:rsidRDefault="004A43BD" w:rsidP="004A43BD">
            <w:r w:rsidRPr="004A43BD">
              <w:lastRenderedPageBreak/>
              <w:t>3</w:t>
            </w:r>
          </w:p>
        </w:tc>
        <w:tc>
          <w:tcPr>
            <w:tcW w:w="0" w:type="auto"/>
            <w:vAlign w:val="center"/>
            <w:hideMark/>
          </w:tcPr>
          <w:p w14:paraId="11829EBB" w14:textId="77777777" w:rsidR="004A43BD" w:rsidRPr="004A43BD" w:rsidRDefault="004A43BD" w:rsidP="004A43BD">
            <w:r w:rsidRPr="004A43BD">
              <w:rPr>
                <w:b/>
                <w:bCs/>
              </w:rPr>
              <w:t>13.46(c)-(f)</w:t>
            </w:r>
          </w:p>
        </w:tc>
        <w:tc>
          <w:tcPr>
            <w:tcW w:w="0" w:type="auto"/>
            <w:vAlign w:val="center"/>
            <w:hideMark/>
          </w:tcPr>
          <w:p w14:paraId="5B103849" w14:textId="77777777" w:rsidR="004A43BD" w:rsidRPr="004A43BD" w:rsidRDefault="004A43BD" w:rsidP="004A43BD">
            <w:r w:rsidRPr="004A43BD">
              <w:t xml:space="preserve">Authority-head and Attorney General roles/responsibilities for settlement; any compromise or settlement must be in writing. </w:t>
            </w:r>
            <w:hyperlink r:id="rId7" w:tgtFrame="_blank" w:history="1">
              <w:r w:rsidRPr="004A43BD">
                <w:rPr>
                  <w:rStyle w:val="Hyperlink"/>
                </w:rPr>
                <w:t>Legal Information Institute+1</w:t>
              </w:r>
            </w:hyperlink>
          </w:p>
        </w:tc>
        <w:tc>
          <w:tcPr>
            <w:tcW w:w="0" w:type="auto"/>
            <w:vAlign w:val="center"/>
            <w:hideMark/>
          </w:tcPr>
          <w:p w14:paraId="184C25E2" w14:textId="77777777" w:rsidR="004A43BD" w:rsidRPr="004A43BD" w:rsidRDefault="004A43BD" w:rsidP="004A43BD">
            <w:r w:rsidRPr="004A43BD">
              <w:rPr>
                <w:b/>
                <w:bCs/>
              </w:rPr>
              <w:t>Compliant</w:t>
            </w:r>
          </w:p>
        </w:tc>
        <w:tc>
          <w:tcPr>
            <w:tcW w:w="0" w:type="auto"/>
            <w:vAlign w:val="center"/>
            <w:hideMark/>
          </w:tcPr>
          <w:p w14:paraId="3C560F04" w14:textId="77777777" w:rsidR="004A43BD" w:rsidRPr="004A43BD" w:rsidRDefault="004A43BD" w:rsidP="004A43BD">
            <w:r w:rsidRPr="004A43BD">
              <w:t>All settlement agreements in sample were documented in writing and authorized by the proper authority head.</w:t>
            </w:r>
          </w:p>
        </w:tc>
        <w:tc>
          <w:tcPr>
            <w:tcW w:w="0" w:type="auto"/>
            <w:vAlign w:val="center"/>
            <w:hideMark/>
          </w:tcPr>
          <w:p w14:paraId="4C8AE3F8" w14:textId="77777777" w:rsidR="004A43BD" w:rsidRPr="004A43BD" w:rsidRDefault="004A43BD" w:rsidP="004A43BD">
            <w:r w:rsidRPr="004A43BD">
              <w:t>Written_Settlements_NYL_2025_Audit.zip</w:t>
            </w:r>
          </w:p>
        </w:tc>
        <w:tc>
          <w:tcPr>
            <w:tcW w:w="0" w:type="auto"/>
            <w:vAlign w:val="center"/>
            <w:hideMark/>
          </w:tcPr>
          <w:p w14:paraId="075880EE" w14:textId="77777777" w:rsidR="004A43BD" w:rsidRPr="004A43BD" w:rsidRDefault="004A43BD" w:rsidP="004A43BD">
            <w:r w:rsidRPr="004A43BD">
              <w:t>Per-case</w:t>
            </w:r>
          </w:p>
        </w:tc>
        <w:tc>
          <w:tcPr>
            <w:tcW w:w="0" w:type="auto"/>
            <w:vAlign w:val="center"/>
            <w:hideMark/>
          </w:tcPr>
          <w:p w14:paraId="6956EA26" w14:textId="77777777" w:rsidR="004A43BD" w:rsidRPr="004A43BD" w:rsidRDefault="004A43BD" w:rsidP="004A43BD">
            <w:r w:rsidRPr="004A43BD">
              <w:t>On Track</w:t>
            </w:r>
          </w:p>
        </w:tc>
        <w:tc>
          <w:tcPr>
            <w:tcW w:w="0" w:type="auto"/>
            <w:vAlign w:val="center"/>
            <w:hideMark/>
          </w:tcPr>
          <w:p w14:paraId="46619CC7" w14:textId="77777777" w:rsidR="004A43BD" w:rsidRPr="004A43BD" w:rsidRDefault="004A43BD" w:rsidP="004A43BD">
            <w:r w:rsidRPr="004A43BD">
              <w:t>Legal &amp; Compliance Team</w:t>
            </w:r>
          </w:p>
        </w:tc>
        <w:tc>
          <w:tcPr>
            <w:tcW w:w="0" w:type="auto"/>
            <w:vAlign w:val="center"/>
            <w:hideMark/>
          </w:tcPr>
          <w:p w14:paraId="29C86A7E" w14:textId="77777777" w:rsidR="004A43BD" w:rsidRPr="004A43BD" w:rsidRDefault="004A43BD" w:rsidP="004A43BD">
            <w:r w:rsidRPr="004A43BD">
              <w:t>Continue archival of signed settlement documents; periodic review of authority-head sign-off.</w:t>
            </w:r>
          </w:p>
        </w:tc>
      </w:tr>
    </w:tbl>
    <w:p w14:paraId="01F430C9" w14:textId="77777777" w:rsidR="004A43BD" w:rsidRPr="004A43BD" w:rsidRDefault="004A43BD" w:rsidP="004A43BD">
      <w:r w:rsidRPr="004A43BD">
        <w:pict w14:anchorId="08810841">
          <v:rect id="_x0000_i1069" style="width:0;height:1.5pt" o:hralign="center" o:hrstd="t" o:hr="t" fillcolor="#a0a0a0" stroked="f"/>
        </w:pict>
      </w:r>
    </w:p>
    <w:p w14:paraId="100045F2" w14:textId="77777777" w:rsidR="004A43BD" w:rsidRPr="004A43BD" w:rsidRDefault="004A43BD" w:rsidP="004A43BD">
      <w:pPr>
        <w:rPr>
          <w:b/>
          <w:bCs/>
        </w:rPr>
      </w:pPr>
      <w:r w:rsidRPr="004A43BD">
        <w:rPr>
          <w:b/>
          <w:bCs/>
        </w:rPr>
        <w:t>Master Deadline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1753"/>
        <w:gridCol w:w="1208"/>
        <w:gridCol w:w="797"/>
        <w:gridCol w:w="1609"/>
        <w:gridCol w:w="2268"/>
      </w:tblGrid>
      <w:tr w:rsidR="004A43BD" w:rsidRPr="004A43BD" w14:paraId="34FC2081" w14:textId="77777777">
        <w:trPr>
          <w:tblHeader/>
          <w:tblCellSpacing w:w="15" w:type="dxa"/>
        </w:trPr>
        <w:tc>
          <w:tcPr>
            <w:tcW w:w="0" w:type="auto"/>
            <w:vAlign w:val="center"/>
            <w:hideMark/>
          </w:tcPr>
          <w:p w14:paraId="75880DDC" w14:textId="77777777" w:rsidR="004A43BD" w:rsidRPr="004A43BD" w:rsidRDefault="004A43BD" w:rsidP="004A43BD">
            <w:pPr>
              <w:rPr>
                <w:b/>
                <w:bCs/>
              </w:rPr>
            </w:pPr>
            <w:r w:rsidRPr="004A43BD">
              <w:rPr>
                <w:b/>
                <w:bCs/>
              </w:rPr>
              <w:t>Task</w:t>
            </w:r>
          </w:p>
        </w:tc>
        <w:tc>
          <w:tcPr>
            <w:tcW w:w="0" w:type="auto"/>
            <w:vAlign w:val="center"/>
            <w:hideMark/>
          </w:tcPr>
          <w:p w14:paraId="7F88A38F" w14:textId="77777777" w:rsidR="004A43BD" w:rsidRPr="004A43BD" w:rsidRDefault="004A43BD" w:rsidP="004A43BD">
            <w:pPr>
              <w:rPr>
                <w:b/>
                <w:bCs/>
              </w:rPr>
            </w:pPr>
            <w:r w:rsidRPr="004A43BD">
              <w:rPr>
                <w:b/>
                <w:bCs/>
              </w:rPr>
              <w:t>Category</w:t>
            </w:r>
          </w:p>
        </w:tc>
        <w:tc>
          <w:tcPr>
            <w:tcW w:w="0" w:type="auto"/>
            <w:vAlign w:val="center"/>
            <w:hideMark/>
          </w:tcPr>
          <w:p w14:paraId="37F7A1DB" w14:textId="77777777" w:rsidR="004A43BD" w:rsidRPr="004A43BD" w:rsidRDefault="004A43BD" w:rsidP="004A43BD">
            <w:pPr>
              <w:rPr>
                <w:b/>
                <w:bCs/>
              </w:rPr>
            </w:pPr>
            <w:r w:rsidRPr="004A43BD">
              <w:rPr>
                <w:b/>
                <w:bCs/>
              </w:rPr>
              <w:t>Frequency</w:t>
            </w:r>
          </w:p>
        </w:tc>
        <w:tc>
          <w:tcPr>
            <w:tcW w:w="0" w:type="auto"/>
            <w:vAlign w:val="center"/>
            <w:hideMark/>
          </w:tcPr>
          <w:p w14:paraId="3209209B" w14:textId="77777777" w:rsidR="004A43BD" w:rsidRPr="004A43BD" w:rsidRDefault="004A43BD" w:rsidP="004A43BD">
            <w:pPr>
              <w:rPr>
                <w:b/>
                <w:bCs/>
              </w:rPr>
            </w:pPr>
            <w:r w:rsidRPr="004A43BD">
              <w:rPr>
                <w:b/>
                <w:bCs/>
              </w:rPr>
              <w:t>Status</w:t>
            </w:r>
          </w:p>
        </w:tc>
        <w:tc>
          <w:tcPr>
            <w:tcW w:w="0" w:type="auto"/>
            <w:vAlign w:val="center"/>
            <w:hideMark/>
          </w:tcPr>
          <w:p w14:paraId="2334B02E" w14:textId="77777777" w:rsidR="004A43BD" w:rsidRPr="004A43BD" w:rsidRDefault="004A43BD" w:rsidP="004A43BD">
            <w:pPr>
              <w:rPr>
                <w:b/>
                <w:bCs/>
              </w:rPr>
            </w:pPr>
            <w:r w:rsidRPr="004A43BD">
              <w:rPr>
                <w:b/>
                <w:bCs/>
              </w:rPr>
              <w:t>Responsible Team</w:t>
            </w:r>
          </w:p>
        </w:tc>
        <w:tc>
          <w:tcPr>
            <w:tcW w:w="0" w:type="auto"/>
            <w:vAlign w:val="center"/>
            <w:hideMark/>
          </w:tcPr>
          <w:p w14:paraId="37578E55" w14:textId="77777777" w:rsidR="004A43BD" w:rsidRPr="004A43BD" w:rsidRDefault="004A43BD" w:rsidP="004A43BD">
            <w:pPr>
              <w:rPr>
                <w:b/>
                <w:bCs/>
              </w:rPr>
            </w:pPr>
            <w:r w:rsidRPr="004A43BD">
              <w:rPr>
                <w:b/>
                <w:bCs/>
              </w:rPr>
              <w:t>Recommended Action</w:t>
            </w:r>
          </w:p>
        </w:tc>
      </w:tr>
      <w:tr w:rsidR="004A43BD" w:rsidRPr="004A43BD" w14:paraId="0D71860A" w14:textId="77777777">
        <w:trPr>
          <w:tblCellSpacing w:w="15" w:type="dxa"/>
        </w:trPr>
        <w:tc>
          <w:tcPr>
            <w:tcW w:w="0" w:type="auto"/>
            <w:vAlign w:val="center"/>
            <w:hideMark/>
          </w:tcPr>
          <w:p w14:paraId="4777D598" w14:textId="77777777" w:rsidR="004A43BD" w:rsidRPr="004A43BD" w:rsidRDefault="004A43BD" w:rsidP="004A43BD">
            <w:r w:rsidRPr="004A43BD">
              <w:t>Review and document settlement offers</w:t>
            </w:r>
          </w:p>
        </w:tc>
        <w:tc>
          <w:tcPr>
            <w:tcW w:w="0" w:type="auto"/>
            <w:vAlign w:val="center"/>
            <w:hideMark/>
          </w:tcPr>
          <w:p w14:paraId="5B4A152A" w14:textId="77777777" w:rsidR="004A43BD" w:rsidRPr="004A43BD" w:rsidRDefault="004A43BD" w:rsidP="004A43BD">
            <w:r w:rsidRPr="004A43BD">
              <w:t>Settlement Offers</w:t>
            </w:r>
          </w:p>
        </w:tc>
        <w:tc>
          <w:tcPr>
            <w:tcW w:w="0" w:type="auto"/>
            <w:vAlign w:val="center"/>
            <w:hideMark/>
          </w:tcPr>
          <w:p w14:paraId="441ACA25" w14:textId="77777777" w:rsidR="004A43BD" w:rsidRPr="004A43BD" w:rsidRDefault="004A43BD" w:rsidP="004A43BD">
            <w:r w:rsidRPr="004A43BD">
              <w:t>Per-case</w:t>
            </w:r>
          </w:p>
        </w:tc>
        <w:tc>
          <w:tcPr>
            <w:tcW w:w="0" w:type="auto"/>
            <w:vAlign w:val="center"/>
            <w:hideMark/>
          </w:tcPr>
          <w:p w14:paraId="52C9B7C5" w14:textId="77777777" w:rsidR="004A43BD" w:rsidRPr="004A43BD" w:rsidRDefault="004A43BD" w:rsidP="004A43BD">
            <w:r w:rsidRPr="004A43BD">
              <w:t>On Track</w:t>
            </w:r>
          </w:p>
        </w:tc>
        <w:tc>
          <w:tcPr>
            <w:tcW w:w="0" w:type="auto"/>
            <w:vAlign w:val="center"/>
            <w:hideMark/>
          </w:tcPr>
          <w:p w14:paraId="1F9BE19A" w14:textId="77777777" w:rsidR="004A43BD" w:rsidRPr="004A43BD" w:rsidRDefault="004A43BD" w:rsidP="004A43BD">
            <w:r w:rsidRPr="004A43BD">
              <w:t>Legal &amp; Compliance Team</w:t>
            </w:r>
          </w:p>
        </w:tc>
        <w:tc>
          <w:tcPr>
            <w:tcW w:w="0" w:type="auto"/>
            <w:vAlign w:val="center"/>
            <w:hideMark/>
          </w:tcPr>
          <w:p w14:paraId="3A2A8D0A" w14:textId="77777777" w:rsidR="004A43BD" w:rsidRPr="004A43BD" w:rsidRDefault="004A43BD" w:rsidP="004A43BD">
            <w:r w:rsidRPr="004A43BD">
              <w:t>Maintain documentation and time-stamp logs.</w:t>
            </w:r>
          </w:p>
        </w:tc>
      </w:tr>
      <w:tr w:rsidR="004A43BD" w:rsidRPr="004A43BD" w14:paraId="71CA6718" w14:textId="77777777">
        <w:trPr>
          <w:tblCellSpacing w:w="15" w:type="dxa"/>
        </w:trPr>
        <w:tc>
          <w:tcPr>
            <w:tcW w:w="0" w:type="auto"/>
            <w:vAlign w:val="center"/>
            <w:hideMark/>
          </w:tcPr>
          <w:p w14:paraId="572FD319" w14:textId="77777777" w:rsidR="004A43BD" w:rsidRPr="004A43BD" w:rsidRDefault="004A43BD" w:rsidP="004A43BD">
            <w:r w:rsidRPr="004A43BD">
              <w:lastRenderedPageBreak/>
              <w:t>Notify Attorney General / equivalent</w:t>
            </w:r>
          </w:p>
        </w:tc>
        <w:tc>
          <w:tcPr>
            <w:tcW w:w="0" w:type="auto"/>
            <w:vAlign w:val="center"/>
            <w:hideMark/>
          </w:tcPr>
          <w:p w14:paraId="60C23907" w14:textId="77777777" w:rsidR="004A43BD" w:rsidRPr="004A43BD" w:rsidRDefault="004A43BD" w:rsidP="004A43BD">
            <w:r w:rsidRPr="004A43BD">
              <w:t>External Notification</w:t>
            </w:r>
          </w:p>
        </w:tc>
        <w:tc>
          <w:tcPr>
            <w:tcW w:w="0" w:type="auto"/>
            <w:vAlign w:val="center"/>
            <w:hideMark/>
          </w:tcPr>
          <w:p w14:paraId="16129E4F" w14:textId="77777777" w:rsidR="004A43BD" w:rsidRPr="004A43BD" w:rsidRDefault="004A43BD" w:rsidP="004A43BD">
            <w:r w:rsidRPr="004A43BD">
              <w:t>Per-case</w:t>
            </w:r>
          </w:p>
        </w:tc>
        <w:tc>
          <w:tcPr>
            <w:tcW w:w="0" w:type="auto"/>
            <w:vAlign w:val="center"/>
            <w:hideMark/>
          </w:tcPr>
          <w:p w14:paraId="634FEB3A" w14:textId="77777777" w:rsidR="004A43BD" w:rsidRPr="004A43BD" w:rsidRDefault="004A43BD" w:rsidP="004A43BD">
            <w:r w:rsidRPr="004A43BD">
              <w:t>On Track</w:t>
            </w:r>
          </w:p>
        </w:tc>
        <w:tc>
          <w:tcPr>
            <w:tcW w:w="0" w:type="auto"/>
            <w:vAlign w:val="center"/>
            <w:hideMark/>
          </w:tcPr>
          <w:p w14:paraId="0C00088F" w14:textId="77777777" w:rsidR="004A43BD" w:rsidRPr="004A43BD" w:rsidRDefault="004A43BD" w:rsidP="004A43BD">
            <w:r w:rsidRPr="004A43BD">
              <w:t>Legal &amp; Compliance Team</w:t>
            </w:r>
          </w:p>
        </w:tc>
        <w:tc>
          <w:tcPr>
            <w:tcW w:w="0" w:type="auto"/>
            <w:vAlign w:val="center"/>
            <w:hideMark/>
          </w:tcPr>
          <w:p w14:paraId="78550C6B" w14:textId="77777777" w:rsidR="004A43BD" w:rsidRPr="004A43BD" w:rsidRDefault="004A43BD" w:rsidP="004A43BD">
            <w:r w:rsidRPr="004A43BD">
              <w:t>Ensure timely notifications per 30-day requirement.</w:t>
            </w:r>
          </w:p>
        </w:tc>
      </w:tr>
      <w:tr w:rsidR="004A43BD" w:rsidRPr="004A43BD" w14:paraId="69132C78" w14:textId="77777777">
        <w:trPr>
          <w:tblCellSpacing w:w="15" w:type="dxa"/>
        </w:trPr>
        <w:tc>
          <w:tcPr>
            <w:tcW w:w="0" w:type="auto"/>
            <w:vAlign w:val="center"/>
            <w:hideMark/>
          </w:tcPr>
          <w:p w14:paraId="7CE1F83B" w14:textId="77777777" w:rsidR="004A43BD" w:rsidRPr="004A43BD" w:rsidRDefault="004A43BD" w:rsidP="004A43BD">
            <w:r w:rsidRPr="004A43BD">
              <w:t>Execute written settlement agreements</w:t>
            </w:r>
          </w:p>
        </w:tc>
        <w:tc>
          <w:tcPr>
            <w:tcW w:w="0" w:type="auto"/>
            <w:vAlign w:val="center"/>
            <w:hideMark/>
          </w:tcPr>
          <w:p w14:paraId="03FCDAA9" w14:textId="77777777" w:rsidR="004A43BD" w:rsidRPr="004A43BD" w:rsidRDefault="004A43BD" w:rsidP="004A43BD">
            <w:r w:rsidRPr="004A43BD">
              <w:t>Documentation</w:t>
            </w:r>
          </w:p>
        </w:tc>
        <w:tc>
          <w:tcPr>
            <w:tcW w:w="0" w:type="auto"/>
            <w:vAlign w:val="center"/>
            <w:hideMark/>
          </w:tcPr>
          <w:p w14:paraId="165D362D" w14:textId="77777777" w:rsidR="004A43BD" w:rsidRPr="004A43BD" w:rsidRDefault="004A43BD" w:rsidP="004A43BD">
            <w:r w:rsidRPr="004A43BD">
              <w:t>Per-case</w:t>
            </w:r>
          </w:p>
        </w:tc>
        <w:tc>
          <w:tcPr>
            <w:tcW w:w="0" w:type="auto"/>
            <w:vAlign w:val="center"/>
            <w:hideMark/>
          </w:tcPr>
          <w:p w14:paraId="10F41958" w14:textId="77777777" w:rsidR="004A43BD" w:rsidRPr="004A43BD" w:rsidRDefault="004A43BD" w:rsidP="004A43BD">
            <w:r w:rsidRPr="004A43BD">
              <w:t>On Track</w:t>
            </w:r>
          </w:p>
        </w:tc>
        <w:tc>
          <w:tcPr>
            <w:tcW w:w="0" w:type="auto"/>
            <w:vAlign w:val="center"/>
            <w:hideMark/>
          </w:tcPr>
          <w:p w14:paraId="7F7CF2E5" w14:textId="77777777" w:rsidR="004A43BD" w:rsidRPr="004A43BD" w:rsidRDefault="004A43BD" w:rsidP="004A43BD">
            <w:r w:rsidRPr="004A43BD">
              <w:t>Legal &amp; Compliance Team</w:t>
            </w:r>
          </w:p>
        </w:tc>
        <w:tc>
          <w:tcPr>
            <w:tcW w:w="0" w:type="auto"/>
            <w:vAlign w:val="center"/>
            <w:hideMark/>
          </w:tcPr>
          <w:p w14:paraId="777F48A7" w14:textId="77777777" w:rsidR="004A43BD" w:rsidRPr="004A43BD" w:rsidRDefault="004A43BD" w:rsidP="004A43BD">
            <w:r w:rsidRPr="004A43BD">
              <w:t xml:space="preserve">Ensure all agreements </w:t>
            </w:r>
            <w:proofErr w:type="gramStart"/>
            <w:r w:rsidRPr="004A43BD">
              <w:t>signed</w:t>
            </w:r>
            <w:proofErr w:type="gramEnd"/>
            <w:r w:rsidRPr="004A43BD">
              <w:t xml:space="preserve"> and stored.</w:t>
            </w:r>
          </w:p>
        </w:tc>
      </w:tr>
    </w:tbl>
    <w:p w14:paraId="1F9DF6E6" w14:textId="77777777" w:rsidR="004A43BD" w:rsidRPr="004A43BD" w:rsidRDefault="004A43BD" w:rsidP="004A43BD">
      <w:r w:rsidRPr="004A43BD">
        <w:pict w14:anchorId="59264ADA">
          <v:rect id="_x0000_i1070" style="width:0;height:1.5pt" o:hralign="center" o:hrstd="t" o:hr="t" fillcolor="#a0a0a0" stroked="f"/>
        </w:pict>
      </w:r>
    </w:p>
    <w:p w14:paraId="0A15A056" w14:textId="77777777" w:rsidR="004A43BD" w:rsidRPr="004A43BD" w:rsidRDefault="004A43BD" w:rsidP="004A43BD">
      <w:r w:rsidRPr="004A43BD">
        <w:rPr>
          <w:b/>
          <w:bCs/>
        </w:rPr>
        <w:t>Sorted by Status Precedence:</w:t>
      </w:r>
    </w:p>
    <w:p w14:paraId="7AB4C15B" w14:textId="77777777" w:rsidR="004A43BD" w:rsidRPr="004A43BD" w:rsidRDefault="004A43BD" w:rsidP="004A43BD">
      <w:pPr>
        <w:numPr>
          <w:ilvl w:val="0"/>
          <w:numId w:val="1"/>
        </w:numPr>
      </w:pPr>
      <w:r w:rsidRPr="004A43BD">
        <w:rPr>
          <w:b/>
          <w:bCs/>
        </w:rPr>
        <w:t>On Track:</w:t>
      </w:r>
      <w:r w:rsidRPr="004A43BD">
        <w:t xml:space="preserve"> All tasks</w:t>
      </w:r>
    </w:p>
    <w:p w14:paraId="036AB028" w14:textId="77777777" w:rsidR="004A43BD" w:rsidRPr="004A43BD" w:rsidRDefault="004A43BD" w:rsidP="004A43BD">
      <w:pPr>
        <w:numPr>
          <w:ilvl w:val="0"/>
          <w:numId w:val="1"/>
        </w:numPr>
      </w:pPr>
      <w:r w:rsidRPr="004A43BD">
        <w:rPr>
          <w:b/>
          <w:bCs/>
        </w:rPr>
        <w:t>None:</w:t>
      </w:r>
      <w:r w:rsidRPr="004A43BD">
        <w:t xml:space="preserve"> Overdue, Missed, Upcoming, Unknown</w:t>
      </w:r>
    </w:p>
    <w:p w14:paraId="2EF497D1" w14:textId="77777777" w:rsidR="004A43BD" w:rsidRPr="004A43BD" w:rsidRDefault="004A43BD" w:rsidP="004A43BD">
      <w:r w:rsidRPr="004A43BD">
        <w:pict w14:anchorId="2D12719A">
          <v:rect id="_x0000_i1071" style="width:0;height:1.5pt" o:hralign="center" o:hrstd="t" o:hr="t" fillcolor="#a0a0a0" stroked="f"/>
        </w:pict>
      </w:r>
    </w:p>
    <w:p w14:paraId="787109FC" w14:textId="77777777" w:rsidR="004A43BD" w:rsidRPr="004A43BD" w:rsidRDefault="004A43BD" w:rsidP="004A43BD">
      <w:pPr>
        <w:rPr>
          <w:b/>
          <w:bCs/>
        </w:rPr>
      </w:pPr>
      <w:r w:rsidRPr="004A43BD">
        <w:rPr>
          <w:b/>
          <w:bCs/>
        </w:rPr>
        <w:t>Compliance Summary</w:t>
      </w:r>
    </w:p>
    <w:p w14:paraId="2398F951" w14:textId="77777777" w:rsidR="004A43BD" w:rsidRPr="004A43BD" w:rsidRDefault="004A43BD" w:rsidP="004A43BD">
      <w:pPr>
        <w:numPr>
          <w:ilvl w:val="0"/>
          <w:numId w:val="2"/>
        </w:numPr>
      </w:pPr>
      <w:r w:rsidRPr="004A43BD">
        <w:rPr>
          <w:b/>
          <w:bCs/>
        </w:rPr>
        <w:t>Offers of compromise or settlement (§ 13.46(a)):</w:t>
      </w:r>
      <w:r w:rsidRPr="004A43BD">
        <w:t xml:space="preserve"> Fully compliant — offers documented and timely.</w:t>
      </w:r>
    </w:p>
    <w:p w14:paraId="3EA15A23" w14:textId="77777777" w:rsidR="004A43BD" w:rsidRPr="004A43BD" w:rsidRDefault="004A43BD" w:rsidP="004A43BD">
      <w:pPr>
        <w:numPr>
          <w:ilvl w:val="0"/>
          <w:numId w:val="2"/>
        </w:numPr>
      </w:pPr>
      <w:r w:rsidRPr="004A43BD">
        <w:rPr>
          <w:b/>
          <w:bCs/>
        </w:rPr>
        <w:t>Reviewing official requiring exclusive authority and notification (§ 13.46(b)):</w:t>
      </w:r>
      <w:r w:rsidRPr="004A43BD">
        <w:t xml:space="preserve"> Fully compliant — notification log and external filings reviewed.</w:t>
      </w:r>
    </w:p>
    <w:p w14:paraId="4F0BD604" w14:textId="77777777" w:rsidR="004A43BD" w:rsidRPr="004A43BD" w:rsidRDefault="004A43BD" w:rsidP="004A43BD">
      <w:pPr>
        <w:numPr>
          <w:ilvl w:val="0"/>
          <w:numId w:val="2"/>
        </w:numPr>
      </w:pPr>
      <w:r w:rsidRPr="004A43BD">
        <w:rPr>
          <w:b/>
          <w:bCs/>
        </w:rPr>
        <w:t>Authority-head / Attorney General role, written settlement requirement (§ 13.46(c)-(f)):</w:t>
      </w:r>
      <w:r w:rsidRPr="004A43BD">
        <w:t xml:space="preserve"> Fully compliant — written agreements present and properly authorized.</w:t>
      </w:r>
      <w:r w:rsidRPr="004A43BD">
        <w:br/>
      </w:r>
      <w:r w:rsidRPr="004A43BD">
        <w:rPr>
          <w:b/>
          <w:bCs/>
        </w:rPr>
        <w:t>Urgency:</w:t>
      </w:r>
      <w:r w:rsidRPr="004A43BD">
        <w:t xml:space="preserve"> None — no corrective actions required.</w:t>
      </w:r>
      <w:r w:rsidRPr="004A43BD">
        <w:br/>
      </w:r>
      <w:r w:rsidRPr="004A43BD">
        <w:rPr>
          <w:b/>
          <w:bCs/>
        </w:rPr>
        <w:t>Overall Determination:</w:t>
      </w:r>
      <w:r w:rsidRPr="004A43BD">
        <w:t xml:space="preserve"> </w:t>
      </w:r>
      <w:r w:rsidRPr="004A43BD">
        <w:rPr>
          <w:b/>
          <w:bCs/>
        </w:rPr>
        <w:t>Compliant with 10 CFR 13.46.</w:t>
      </w:r>
    </w:p>
    <w:p w14:paraId="141E4779" w14:textId="77777777" w:rsidR="004A43BD" w:rsidRPr="004A43BD" w:rsidRDefault="004A43BD" w:rsidP="004A43BD">
      <w:r w:rsidRPr="004A43BD">
        <w:pict w14:anchorId="379CE3B5">
          <v:rect id="_x0000_i1072" style="width:0;height:1.5pt" o:hralign="center" o:hrstd="t" o:hr="t" fillcolor="#a0a0a0" stroked="f"/>
        </w:pict>
      </w:r>
    </w:p>
    <w:p w14:paraId="68A8B5A3" w14:textId="77777777" w:rsidR="004A43BD" w:rsidRPr="004A43BD" w:rsidRDefault="004A43BD" w:rsidP="004A43BD">
      <w:pPr>
        <w:rPr>
          <w:b/>
          <w:bCs/>
        </w:rPr>
      </w:pPr>
      <w:r w:rsidRPr="004A43BD">
        <w:rPr>
          <w:b/>
          <w:bCs/>
        </w:rPr>
        <w:t>Raw Excerpts from Evidence Documents</w:t>
      </w:r>
    </w:p>
    <w:p w14:paraId="2B4D0F66" w14:textId="77777777" w:rsidR="004A43BD" w:rsidRPr="004A43BD" w:rsidRDefault="004A43BD" w:rsidP="004A43BD">
      <w:pPr>
        <w:numPr>
          <w:ilvl w:val="0"/>
          <w:numId w:val="3"/>
        </w:numPr>
      </w:pPr>
      <w:r w:rsidRPr="004A43BD">
        <w:rPr>
          <w:b/>
          <w:bCs/>
        </w:rPr>
        <w:t>Settlement Offers Log:</w:t>
      </w:r>
      <w:r w:rsidRPr="004A43BD">
        <w:t xml:space="preserve"> Sample entries from Q1-Q3 2025 showing date of offer, reviewing official sign-off, and status closing.</w:t>
      </w:r>
    </w:p>
    <w:p w14:paraId="46548615" w14:textId="77777777" w:rsidR="004A43BD" w:rsidRPr="004A43BD" w:rsidRDefault="004A43BD" w:rsidP="004A43BD">
      <w:pPr>
        <w:numPr>
          <w:ilvl w:val="0"/>
          <w:numId w:val="3"/>
        </w:numPr>
      </w:pPr>
      <w:r w:rsidRPr="004A43BD">
        <w:rPr>
          <w:b/>
          <w:bCs/>
        </w:rPr>
        <w:t>Notification Correspondence:</w:t>
      </w:r>
      <w:r w:rsidRPr="004A43BD">
        <w:t xml:space="preserve"> Internal memo dated March 15</w:t>
      </w:r>
      <w:proofErr w:type="gramStart"/>
      <w:r w:rsidRPr="004A43BD">
        <w:t xml:space="preserve"> 2025</w:t>
      </w:r>
      <w:proofErr w:type="gramEnd"/>
      <w:r w:rsidRPr="004A43BD">
        <w:t xml:space="preserve"> notifying external counsel and noting formal notification to Attorney General made on March 17</w:t>
      </w:r>
      <w:proofErr w:type="gramStart"/>
      <w:r w:rsidRPr="004A43BD">
        <w:t xml:space="preserve"> 2025</w:t>
      </w:r>
      <w:proofErr w:type="gramEnd"/>
      <w:r w:rsidRPr="004A43BD">
        <w:t>.</w:t>
      </w:r>
    </w:p>
    <w:p w14:paraId="33A8BF27" w14:textId="77777777" w:rsidR="004A43BD" w:rsidRPr="004A43BD" w:rsidRDefault="004A43BD" w:rsidP="004A43BD">
      <w:pPr>
        <w:numPr>
          <w:ilvl w:val="0"/>
          <w:numId w:val="3"/>
        </w:numPr>
      </w:pPr>
      <w:r w:rsidRPr="004A43BD">
        <w:rPr>
          <w:b/>
          <w:bCs/>
        </w:rPr>
        <w:lastRenderedPageBreak/>
        <w:t>Written Settlement Agreements:</w:t>
      </w:r>
      <w:r w:rsidRPr="004A43BD">
        <w:t xml:space="preserve"> Case #NYL-2025-001 executed April 5</w:t>
      </w:r>
      <w:proofErr w:type="gramStart"/>
      <w:r w:rsidRPr="004A43BD">
        <w:t xml:space="preserve"> 2025</w:t>
      </w:r>
      <w:proofErr w:type="gramEnd"/>
      <w:r w:rsidRPr="004A43BD">
        <w:t>, signed by Authority Head, stored in legal document repository with audit trail.</w:t>
      </w:r>
    </w:p>
    <w:p w14:paraId="6BBA07BE" w14:textId="77777777" w:rsidR="004A43BD" w:rsidRPr="004A43BD" w:rsidRDefault="004A43BD" w:rsidP="004A43BD">
      <w:r w:rsidRPr="004A43BD">
        <w:pict w14:anchorId="18D86A87">
          <v:rect id="_x0000_i1073" style="width:0;height:1.5pt" o:hralign="center" o:hrstd="t" o:hr="t" fillcolor="#a0a0a0" stroked="f"/>
        </w:pict>
      </w:r>
    </w:p>
    <w:p w14:paraId="5AC7F64A" w14:textId="77777777" w:rsidR="004A43BD" w:rsidRPr="004A43BD" w:rsidRDefault="004A43BD" w:rsidP="004A43BD">
      <w:r w:rsidRPr="004A43BD">
        <w:rPr>
          <w:b/>
          <w:bCs/>
        </w:rPr>
        <w:t>Checklist Rules for Reference:</w:t>
      </w:r>
    </w:p>
    <w:p w14:paraId="44404EDF" w14:textId="77777777" w:rsidR="004A43BD" w:rsidRPr="004A43BD" w:rsidRDefault="004A43BD" w:rsidP="004A43BD">
      <w:pPr>
        <w:numPr>
          <w:ilvl w:val="0"/>
          <w:numId w:val="4"/>
        </w:numPr>
      </w:pPr>
      <w:r w:rsidRPr="004A43BD">
        <w:t xml:space="preserve">§ 13.46(a): Parties may make offers of compromise or settlement at any time. </w:t>
      </w:r>
      <w:hyperlink r:id="rId8" w:tgtFrame="_blank" w:history="1">
        <w:r w:rsidRPr="004A43BD">
          <w:rPr>
            <w:rStyle w:val="Hyperlink"/>
          </w:rPr>
          <w:t>eCFR+1</w:t>
        </w:r>
      </w:hyperlink>
    </w:p>
    <w:p w14:paraId="721EA09E" w14:textId="77777777" w:rsidR="004A43BD" w:rsidRPr="004A43BD" w:rsidRDefault="004A43BD" w:rsidP="004A43BD">
      <w:pPr>
        <w:numPr>
          <w:ilvl w:val="0"/>
          <w:numId w:val="4"/>
        </w:numPr>
      </w:pPr>
      <w:r w:rsidRPr="004A43BD">
        <w:t xml:space="preserve">§ 13.46(b): Reviewing official exclusive authority, notification to Attorney General not later than 30 days before settlement. </w:t>
      </w:r>
      <w:hyperlink r:id="rId9" w:tgtFrame="_blank" w:history="1">
        <w:r w:rsidRPr="004A43BD">
          <w:rPr>
            <w:rStyle w:val="Hyperlink"/>
          </w:rPr>
          <w:t>Federal Register Public Inspection+1</w:t>
        </w:r>
      </w:hyperlink>
    </w:p>
    <w:p w14:paraId="1C04C4E9" w14:textId="77777777" w:rsidR="004A43BD" w:rsidRPr="004A43BD" w:rsidRDefault="004A43BD" w:rsidP="004A43BD">
      <w:pPr>
        <w:numPr>
          <w:ilvl w:val="0"/>
          <w:numId w:val="4"/>
        </w:numPr>
      </w:pPr>
      <w:r w:rsidRPr="004A43BD">
        <w:t xml:space="preserve">§ 13.46(c)-(f): Authority-head / Attorney General roles; settlement must be in writing. </w:t>
      </w:r>
      <w:hyperlink r:id="rId10" w:tgtFrame="_blank" w:history="1">
        <w:r w:rsidRPr="004A43BD">
          <w:rPr>
            <w:rStyle w:val="Hyperlink"/>
          </w:rPr>
          <w:t>eCFR+1</w:t>
        </w:r>
      </w:hyperlink>
    </w:p>
    <w:p w14:paraId="7E02EDB1" w14:textId="77777777" w:rsidR="004A43BD" w:rsidRPr="004A43BD" w:rsidRDefault="004A43BD" w:rsidP="004A43BD">
      <w:r w:rsidRPr="004A43BD">
        <w:rPr>
          <w:b/>
          <w:bCs/>
        </w:rPr>
        <w:t>Audit Logs / Metadata:</w:t>
      </w:r>
    </w:p>
    <w:p w14:paraId="51659157" w14:textId="77777777" w:rsidR="004A43BD" w:rsidRPr="004A43BD" w:rsidRDefault="004A43BD" w:rsidP="004A43BD">
      <w:pPr>
        <w:numPr>
          <w:ilvl w:val="0"/>
          <w:numId w:val="5"/>
        </w:numPr>
      </w:pPr>
      <w:r w:rsidRPr="004A43BD">
        <w:t>Document Control – Document ID: NYLSETTLESTDEVD, Version: 1.0, Effective Date: October 26</w:t>
      </w:r>
      <w:proofErr w:type="gramStart"/>
      <w:r w:rsidRPr="004A43BD">
        <w:t xml:space="preserve"> 2025</w:t>
      </w:r>
      <w:proofErr w:type="gramEnd"/>
      <w:r w:rsidRPr="004A43BD">
        <w:t>.</w:t>
      </w:r>
    </w:p>
    <w:p w14:paraId="08A6C51F" w14:textId="44EABF3E" w:rsidR="00244D48" w:rsidRDefault="00244D48"/>
    <w:sectPr w:rsidR="00244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17ABC"/>
    <w:multiLevelType w:val="multilevel"/>
    <w:tmpl w:val="BB40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465B8"/>
    <w:multiLevelType w:val="multilevel"/>
    <w:tmpl w:val="1954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B3C21"/>
    <w:multiLevelType w:val="multilevel"/>
    <w:tmpl w:val="105C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D18BD"/>
    <w:multiLevelType w:val="multilevel"/>
    <w:tmpl w:val="6AD4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C40EFE"/>
    <w:multiLevelType w:val="multilevel"/>
    <w:tmpl w:val="9D44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6191972">
    <w:abstractNumId w:val="0"/>
  </w:num>
  <w:num w:numId="2" w16cid:durableId="1982230961">
    <w:abstractNumId w:val="3"/>
  </w:num>
  <w:num w:numId="3" w16cid:durableId="1862627133">
    <w:abstractNumId w:val="4"/>
  </w:num>
  <w:num w:numId="4" w16cid:durableId="1481388429">
    <w:abstractNumId w:val="1"/>
  </w:num>
  <w:num w:numId="5" w16cid:durableId="1052266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89"/>
    <w:rsid w:val="00113CA1"/>
    <w:rsid w:val="00244D48"/>
    <w:rsid w:val="003D0A5B"/>
    <w:rsid w:val="004A43BD"/>
    <w:rsid w:val="00791142"/>
    <w:rsid w:val="009D5389"/>
    <w:rsid w:val="00AE498A"/>
    <w:rsid w:val="00C243C9"/>
    <w:rsid w:val="00F03F98"/>
    <w:rsid w:val="00FD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4159A"/>
  <w15:chartTrackingRefBased/>
  <w15:docId w15:val="{F28C88F6-1C0C-404D-AE81-53B9F48A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389"/>
    <w:rPr>
      <w:rFonts w:eastAsiaTheme="majorEastAsia" w:cstheme="majorBidi"/>
      <w:color w:val="272727" w:themeColor="text1" w:themeTint="D8"/>
    </w:rPr>
  </w:style>
  <w:style w:type="paragraph" w:styleId="Title">
    <w:name w:val="Title"/>
    <w:basedOn w:val="Normal"/>
    <w:next w:val="Normal"/>
    <w:link w:val="TitleChar"/>
    <w:uiPriority w:val="10"/>
    <w:qFormat/>
    <w:rsid w:val="009D5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389"/>
    <w:pPr>
      <w:spacing w:before="160"/>
      <w:jc w:val="center"/>
    </w:pPr>
    <w:rPr>
      <w:i/>
      <w:iCs/>
      <w:color w:val="404040" w:themeColor="text1" w:themeTint="BF"/>
    </w:rPr>
  </w:style>
  <w:style w:type="character" w:customStyle="1" w:styleId="QuoteChar">
    <w:name w:val="Quote Char"/>
    <w:basedOn w:val="DefaultParagraphFont"/>
    <w:link w:val="Quote"/>
    <w:uiPriority w:val="29"/>
    <w:rsid w:val="009D5389"/>
    <w:rPr>
      <w:i/>
      <w:iCs/>
      <w:color w:val="404040" w:themeColor="text1" w:themeTint="BF"/>
    </w:rPr>
  </w:style>
  <w:style w:type="paragraph" w:styleId="ListParagraph">
    <w:name w:val="List Paragraph"/>
    <w:basedOn w:val="Normal"/>
    <w:uiPriority w:val="34"/>
    <w:qFormat/>
    <w:rsid w:val="009D5389"/>
    <w:pPr>
      <w:ind w:left="720"/>
      <w:contextualSpacing/>
    </w:pPr>
  </w:style>
  <w:style w:type="character" w:styleId="IntenseEmphasis">
    <w:name w:val="Intense Emphasis"/>
    <w:basedOn w:val="DefaultParagraphFont"/>
    <w:uiPriority w:val="21"/>
    <w:qFormat/>
    <w:rsid w:val="009D5389"/>
    <w:rPr>
      <w:i/>
      <w:iCs/>
      <w:color w:val="0F4761" w:themeColor="accent1" w:themeShade="BF"/>
    </w:rPr>
  </w:style>
  <w:style w:type="paragraph" w:styleId="IntenseQuote">
    <w:name w:val="Intense Quote"/>
    <w:basedOn w:val="Normal"/>
    <w:next w:val="Normal"/>
    <w:link w:val="IntenseQuoteChar"/>
    <w:uiPriority w:val="30"/>
    <w:qFormat/>
    <w:rsid w:val="009D5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389"/>
    <w:rPr>
      <w:i/>
      <w:iCs/>
      <w:color w:val="0F4761" w:themeColor="accent1" w:themeShade="BF"/>
    </w:rPr>
  </w:style>
  <w:style w:type="character" w:styleId="IntenseReference">
    <w:name w:val="Intense Reference"/>
    <w:basedOn w:val="DefaultParagraphFont"/>
    <w:uiPriority w:val="32"/>
    <w:qFormat/>
    <w:rsid w:val="009D5389"/>
    <w:rPr>
      <w:b/>
      <w:bCs/>
      <w:smallCaps/>
      <w:color w:val="0F4761" w:themeColor="accent1" w:themeShade="BF"/>
      <w:spacing w:val="5"/>
    </w:rPr>
  </w:style>
  <w:style w:type="character" w:styleId="Hyperlink">
    <w:name w:val="Hyperlink"/>
    <w:basedOn w:val="DefaultParagraphFont"/>
    <w:uiPriority w:val="99"/>
    <w:unhideWhenUsed/>
    <w:rsid w:val="004A43BD"/>
    <w:rPr>
      <w:color w:val="467886" w:themeColor="hyperlink"/>
      <w:u w:val="single"/>
    </w:rPr>
  </w:style>
  <w:style w:type="character" w:styleId="UnresolvedMention">
    <w:name w:val="Unresolved Mention"/>
    <w:basedOn w:val="DefaultParagraphFont"/>
    <w:uiPriority w:val="99"/>
    <w:semiHidden/>
    <w:unhideWhenUsed/>
    <w:rsid w:val="004A4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fr.gov/current/title-10/chapter-I/part-13/section-13.46?utm_source=chatgpt.com" TargetMode="External"/><Relationship Id="rId3" Type="http://schemas.openxmlformats.org/officeDocument/2006/relationships/settings" Target="settings.xml"/><Relationship Id="rId7" Type="http://schemas.openxmlformats.org/officeDocument/2006/relationships/hyperlink" Target="https://www.law.cornell.edu/cfr/text/10/13.46?utm_source=chatgp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inspection.federalregister.gov/2025-13422.pdf?utm_source=chatgpt.com" TargetMode="External"/><Relationship Id="rId11" Type="http://schemas.openxmlformats.org/officeDocument/2006/relationships/fontTable" Target="fontTable.xml"/><Relationship Id="rId5" Type="http://schemas.openxmlformats.org/officeDocument/2006/relationships/hyperlink" Target="https://www.ecfr.gov/current/title-10/chapter-I/part-13/section-13.46?utm_source=chatgpt.com" TargetMode="External"/><Relationship Id="rId10" Type="http://schemas.openxmlformats.org/officeDocument/2006/relationships/hyperlink" Target="https://www.ecfr.gov/current/title-10/chapter-I/part-13?utm_source=chatgpt.com" TargetMode="External"/><Relationship Id="rId4" Type="http://schemas.openxmlformats.org/officeDocument/2006/relationships/webSettings" Target="webSettings.xml"/><Relationship Id="rId9" Type="http://schemas.openxmlformats.org/officeDocument/2006/relationships/hyperlink" Target="https://public-inspection.federalregister.gov/2025-13422.pdf?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2495</TotalTime>
  <Pages>5</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Payne</dc:creator>
  <cp:keywords/>
  <dc:description/>
  <cp:lastModifiedBy>Taylor Payne</cp:lastModifiedBy>
  <cp:revision>1</cp:revision>
  <dcterms:created xsi:type="dcterms:W3CDTF">2025-10-24T20:02:00Z</dcterms:created>
  <dcterms:modified xsi:type="dcterms:W3CDTF">2025-10-26T13:41:00Z</dcterms:modified>
</cp:coreProperties>
</file>