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84B5C" w14:textId="77777777" w:rsidR="00C10605" w:rsidRPr="00C10605" w:rsidRDefault="00C10605" w:rsidP="00C10605">
      <w:pPr>
        <w:rPr>
          <w:b/>
          <w:bCs/>
        </w:rPr>
      </w:pPr>
      <w:r w:rsidRPr="00C10605">
        <w:rPr>
          <w:b/>
          <w:bCs/>
        </w:rPr>
        <w:t>New York Law</w:t>
      </w:r>
    </w:p>
    <w:p w14:paraId="2E3FEE40" w14:textId="7908D533" w:rsidR="00C10605" w:rsidRPr="00C10605" w:rsidRDefault="00C10605" w:rsidP="00C10605">
      <w:pPr>
        <w:rPr>
          <w:b/>
          <w:bCs/>
        </w:rPr>
      </w:pPr>
      <w:r w:rsidRPr="00C10605">
        <w:rPr>
          <w:b/>
          <w:bCs/>
        </w:rPr>
        <w:t xml:space="preserve">Authority to Compromise or Settle Cases </w:t>
      </w:r>
    </w:p>
    <w:p w14:paraId="65A3E151" w14:textId="77777777" w:rsidR="00C10605" w:rsidRPr="00C10605" w:rsidRDefault="00C10605" w:rsidP="00C10605">
      <w:r w:rsidRPr="00C10605">
        <w:rPr>
          <w:b/>
          <w:bCs/>
        </w:rPr>
        <w:t>Date:</w:t>
      </w:r>
      <w:r w:rsidRPr="00C10605">
        <w:t xml:space="preserve"> October 22, 2025</w:t>
      </w:r>
      <w:r w:rsidRPr="00C10605">
        <w:br/>
      </w:r>
      <w:r w:rsidRPr="00C10605">
        <w:rPr>
          <w:b/>
          <w:bCs/>
        </w:rPr>
        <w:t>Prepared by:</w:t>
      </w:r>
      <w:r w:rsidRPr="00C10605">
        <w:t xml:space="preserve"> Legal Compliance and Administrative Oversight Team</w:t>
      </w:r>
    </w:p>
    <w:p w14:paraId="5B07D8FC" w14:textId="77777777" w:rsidR="00C10605" w:rsidRPr="00C10605" w:rsidRDefault="00C10605" w:rsidP="00C10605">
      <w:r w:rsidRPr="00C10605">
        <w:pict w14:anchorId="0BEADF84">
          <v:rect id="_x0000_i1055" style="width:0;height:1.5pt" o:hralign="center" o:hrstd="t" o:hr="t" fillcolor="#a0a0a0" stroked="f"/>
        </w:pict>
      </w:r>
    </w:p>
    <w:p w14:paraId="571C1F5A" w14:textId="77777777" w:rsidR="00C10605" w:rsidRPr="00C10605" w:rsidRDefault="00C10605" w:rsidP="00C10605">
      <w:pPr>
        <w:rPr>
          <w:b/>
          <w:bCs/>
        </w:rPr>
      </w:pPr>
      <w:r w:rsidRPr="00C10605">
        <w:rPr>
          <w:b/>
          <w:bCs/>
        </w:rPr>
        <w:t>Purpose</w:t>
      </w:r>
    </w:p>
    <w:p w14:paraId="6CEB976F" w14:textId="77777777" w:rsidR="00C10605" w:rsidRPr="00C10605" w:rsidRDefault="00C10605" w:rsidP="00C10605">
      <w:r w:rsidRPr="00C10605">
        <w:t xml:space="preserve">This document provides evidence supporting New York Law’s adherence to procedural requirements under the regulation governing the </w:t>
      </w:r>
      <w:r w:rsidRPr="00C10605">
        <w:rPr>
          <w:b/>
          <w:bCs/>
        </w:rPr>
        <w:t>authority of reviewing officials to compromise or settle cases</w:t>
      </w:r>
      <w:r w:rsidRPr="00C10605">
        <w:t>.</w:t>
      </w:r>
      <w:r w:rsidRPr="00C10605">
        <w:br/>
        <w:t>It presents records and supporting materials that demonstrate internal processes related to notification, settlement timing, and documentation practices.</w:t>
      </w:r>
    </w:p>
    <w:p w14:paraId="251D7211" w14:textId="77777777" w:rsidR="00C10605" w:rsidRPr="00C10605" w:rsidRDefault="00C10605" w:rsidP="00C10605">
      <w:r w:rsidRPr="00C10605">
        <w:pict w14:anchorId="4C8D8E3D">
          <v:rect id="_x0000_i1056" style="width:0;height:1.5pt" o:hralign="center" o:hrstd="t" o:hr="t" fillcolor="#a0a0a0" stroked="f"/>
        </w:pict>
      </w:r>
    </w:p>
    <w:p w14:paraId="75ADA9A6" w14:textId="77777777" w:rsidR="00C10605" w:rsidRPr="00C10605" w:rsidRDefault="00C10605" w:rsidP="00C10605">
      <w:pPr>
        <w:rPr>
          <w:b/>
          <w:bCs/>
        </w:rPr>
      </w:pPr>
      <w:r w:rsidRPr="00C10605">
        <w:rPr>
          <w:b/>
          <w:bCs/>
        </w:rPr>
        <w:t>Evidence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7436"/>
      </w:tblGrid>
      <w:tr w:rsidR="00C10605" w:rsidRPr="00C10605" w14:paraId="77C6C39A" w14:textId="77777777">
        <w:trPr>
          <w:tblHeader/>
          <w:tblCellSpacing w:w="15" w:type="dxa"/>
        </w:trPr>
        <w:tc>
          <w:tcPr>
            <w:tcW w:w="0" w:type="auto"/>
            <w:vAlign w:val="center"/>
            <w:hideMark/>
          </w:tcPr>
          <w:p w14:paraId="22523D58" w14:textId="77777777" w:rsidR="00C10605" w:rsidRPr="00C10605" w:rsidRDefault="00C10605" w:rsidP="00C10605">
            <w:pPr>
              <w:rPr>
                <w:b/>
                <w:bCs/>
              </w:rPr>
            </w:pPr>
            <w:r w:rsidRPr="00C10605">
              <w:rPr>
                <w:b/>
                <w:bCs/>
              </w:rPr>
              <w:t>Requirement</w:t>
            </w:r>
          </w:p>
        </w:tc>
        <w:tc>
          <w:tcPr>
            <w:tcW w:w="0" w:type="auto"/>
            <w:vAlign w:val="center"/>
            <w:hideMark/>
          </w:tcPr>
          <w:p w14:paraId="48080C25" w14:textId="77777777" w:rsidR="00C10605" w:rsidRPr="00C10605" w:rsidRDefault="00C10605" w:rsidP="00C10605">
            <w:pPr>
              <w:rPr>
                <w:b/>
                <w:bCs/>
              </w:rPr>
            </w:pPr>
            <w:r w:rsidRPr="00C10605">
              <w:rPr>
                <w:b/>
                <w:bCs/>
              </w:rPr>
              <w:t>Evidence Description</w:t>
            </w:r>
          </w:p>
        </w:tc>
      </w:tr>
      <w:tr w:rsidR="00C10605" w:rsidRPr="00C10605" w14:paraId="08A7D82B" w14:textId="77777777">
        <w:trPr>
          <w:tblCellSpacing w:w="15" w:type="dxa"/>
        </w:trPr>
        <w:tc>
          <w:tcPr>
            <w:tcW w:w="0" w:type="auto"/>
            <w:vAlign w:val="center"/>
            <w:hideMark/>
          </w:tcPr>
          <w:p w14:paraId="1F4AD4D2" w14:textId="77777777" w:rsidR="00C10605" w:rsidRPr="00C10605" w:rsidRDefault="00C10605" w:rsidP="00C10605">
            <w:r w:rsidRPr="00C10605">
              <w:rPr>
                <w:b/>
                <w:bCs/>
              </w:rPr>
              <w:t>Authority to Compromise or Settle</w:t>
            </w:r>
          </w:p>
        </w:tc>
        <w:tc>
          <w:tcPr>
            <w:tcW w:w="0" w:type="auto"/>
            <w:vAlign w:val="center"/>
            <w:hideMark/>
          </w:tcPr>
          <w:p w14:paraId="14D34918" w14:textId="77777777" w:rsidR="00C10605" w:rsidRPr="00C10605" w:rsidRDefault="00C10605" w:rsidP="00C10605">
            <w:r w:rsidRPr="00C10605">
              <w:t xml:space="preserve">Documentation confirms that reviewing officials maintain exclusive authority to compromise or settle cases </w:t>
            </w:r>
            <w:r w:rsidRPr="00C10605">
              <w:rPr>
                <w:b/>
                <w:bCs/>
              </w:rPr>
              <w:t>only after</w:t>
            </w:r>
            <w:r w:rsidRPr="00C10605">
              <w:t xml:space="preserve"> being authorized to issue a complaint and </w:t>
            </w:r>
            <w:r w:rsidRPr="00C10605">
              <w:rPr>
                <w:b/>
                <w:bCs/>
              </w:rPr>
              <w:t>before</w:t>
            </w:r>
            <w:r w:rsidRPr="00C10605">
              <w:t xml:space="preserve"> the Administrative Law Judge (ALJ) issues an initial decision. Copies of signed delegation memos and internal legal authority statements are maintained.</w:t>
            </w:r>
          </w:p>
        </w:tc>
      </w:tr>
      <w:tr w:rsidR="00C10605" w:rsidRPr="00C10605" w14:paraId="13D28470" w14:textId="77777777">
        <w:trPr>
          <w:tblCellSpacing w:w="15" w:type="dxa"/>
        </w:trPr>
        <w:tc>
          <w:tcPr>
            <w:tcW w:w="0" w:type="auto"/>
            <w:vAlign w:val="center"/>
            <w:hideMark/>
          </w:tcPr>
          <w:p w14:paraId="2A1C90CF" w14:textId="77777777" w:rsidR="00C10605" w:rsidRPr="00C10605" w:rsidRDefault="00C10605" w:rsidP="00C10605">
            <w:r w:rsidRPr="00C10605">
              <w:rPr>
                <w:b/>
                <w:bCs/>
              </w:rPr>
              <w:t>Timing of Settlements</w:t>
            </w:r>
          </w:p>
        </w:tc>
        <w:tc>
          <w:tcPr>
            <w:tcW w:w="0" w:type="auto"/>
            <w:vAlign w:val="center"/>
            <w:hideMark/>
          </w:tcPr>
          <w:p w14:paraId="24EC2EF7" w14:textId="77777777" w:rsidR="00C10605" w:rsidRPr="00C10605" w:rsidRDefault="00C10605" w:rsidP="00C10605">
            <w:r w:rsidRPr="00C10605">
              <w:t>Case logs and settlement correspondence demonstrate that all case settlements occurred within the authorized window—after complaint issuance but prior to ALJ decision issuance. Timestamped case management records are attached as supporting evidence.</w:t>
            </w:r>
          </w:p>
        </w:tc>
      </w:tr>
      <w:tr w:rsidR="00C10605" w:rsidRPr="00C10605" w14:paraId="1BB2E47F" w14:textId="77777777">
        <w:trPr>
          <w:tblCellSpacing w:w="15" w:type="dxa"/>
        </w:trPr>
        <w:tc>
          <w:tcPr>
            <w:tcW w:w="0" w:type="auto"/>
            <w:vAlign w:val="center"/>
            <w:hideMark/>
          </w:tcPr>
          <w:p w14:paraId="0E2F73D7" w14:textId="77777777" w:rsidR="00C10605" w:rsidRPr="00C10605" w:rsidRDefault="00C10605" w:rsidP="00C10605">
            <w:r w:rsidRPr="00C10605">
              <w:rPr>
                <w:b/>
                <w:bCs/>
              </w:rPr>
              <w:t>Attorney General Notification</w:t>
            </w:r>
          </w:p>
        </w:tc>
        <w:tc>
          <w:tcPr>
            <w:tcW w:w="0" w:type="auto"/>
            <w:vAlign w:val="center"/>
            <w:hideMark/>
          </w:tcPr>
          <w:p w14:paraId="4D7BA698" w14:textId="77777777" w:rsidR="00C10605" w:rsidRPr="00C10605" w:rsidRDefault="00C10605" w:rsidP="00C10605">
            <w:r w:rsidRPr="00C10605">
              <w:t xml:space="preserve">Written notifications to the Attorney General were prepared and transmitted </w:t>
            </w:r>
            <w:r w:rsidRPr="00C10605">
              <w:rPr>
                <w:b/>
                <w:bCs/>
              </w:rPr>
              <w:t>no later than 30 days before</w:t>
            </w:r>
            <w:r w:rsidRPr="00C10605">
              <w:t xml:space="preserve"> entering into settlement agreements. Copies of letters and email confirmations from the Attorney General’s office are included in the evidence archive.</w:t>
            </w:r>
          </w:p>
        </w:tc>
      </w:tr>
      <w:tr w:rsidR="00C10605" w:rsidRPr="00C10605" w14:paraId="17C4724E" w14:textId="77777777">
        <w:trPr>
          <w:tblCellSpacing w:w="15" w:type="dxa"/>
        </w:trPr>
        <w:tc>
          <w:tcPr>
            <w:tcW w:w="0" w:type="auto"/>
            <w:vAlign w:val="center"/>
            <w:hideMark/>
          </w:tcPr>
          <w:p w14:paraId="38F4965B" w14:textId="77777777" w:rsidR="00C10605" w:rsidRPr="00C10605" w:rsidRDefault="00C10605" w:rsidP="00C10605">
            <w:r w:rsidRPr="00C10605">
              <w:rPr>
                <w:b/>
                <w:bCs/>
              </w:rPr>
              <w:t>Written Record Retention</w:t>
            </w:r>
          </w:p>
        </w:tc>
        <w:tc>
          <w:tcPr>
            <w:tcW w:w="0" w:type="auto"/>
            <w:vAlign w:val="center"/>
            <w:hideMark/>
          </w:tcPr>
          <w:p w14:paraId="1A390012" w14:textId="77777777" w:rsidR="00C10605" w:rsidRPr="00C10605" w:rsidRDefault="00C10605" w:rsidP="00C10605">
            <w:r w:rsidRPr="00C10605">
              <w:t>All communications, settlement proposals, and Attorney General notifications are archived in the Legal Document Management System (LDMS) with metadata confirming creation and transmission dates.</w:t>
            </w:r>
          </w:p>
        </w:tc>
      </w:tr>
      <w:tr w:rsidR="00C10605" w:rsidRPr="00C10605" w14:paraId="1EE5BAEF" w14:textId="77777777">
        <w:trPr>
          <w:tblCellSpacing w:w="15" w:type="dxa"/>
        </w:trPr>
        <w:tc>
          <w:tcPr>
            <w:tcW w:w="0" w:type="auto"/>
            <w:vAlign w:val="center"/>
            <w:hideMark/>
          </w:tcPr>
          <w:p w14:paraId="6661E3EA" w14:textId="77777777" w:rsidR="00C10605" w:rsidRPr="00C10605" w:rsidRDefault="00C10605" w:rsidP="00C10605">
            <w:r w:rsidRPr="00C10605">
              <w:rPr>
                <w:b/>
                <w:bCs/>
              </w:rPr>
              <w:lastRenderedPageBreak/>
              <w:t>Referral to Presiding Officer</w:t>
            </w:r>
          </w:p>
        </w:tc>
        <w:tc>
          <w:tcPr>
            <w:tcW w:w="0" w:type="auto"/>
            <w:vAlign w:val="center"/>
            <w:hideMark/>
          </w:tcPr>
          <w:p w14:paraId="54717015" w14:textId="77777777" w:rsidR="00C10605" w:rsidRPr="00C10605" w:rsidRDefault="00C10605" w:rsidP="00C10605">
            <w:r w:rsidRPr="00C10605">
              <w:t xml:space="preserve">No settlement or compromise agreements were </w:t>
            </w:r>
            <w:proofErr w:type="gramStart"/>
            <w:r w:rsidRPr="00C10605">
              <w:t>executed</w:t>
            </w:r>
            <w:proofErr w:type="gramEnd"/>
            <w:r w:rsidRPr="00C10605">
              <w:t xml:space="preserve"> after referral of liability allegations to </w:t>
            </w:r>
            <w:proofErr w:type="gramStart"/>
            <w:r w:rsidRPr="00C10605">
              <w:t>a presiding officer</w:t>
            </w:r>
            <w:proofErr w:type="gramEnd"/>
            <w:r w:rsidRPr="00C10605">
              <w:t>. Documentation from the case tracking system confirms compliance with referral boundaries.</w:t>
            </w:r>
          </w:p>
        </w:tc>
      </w:tr>
    </w:tbl>
    <w:p w14:paraId="6E412C7A" w14:textId="77777777" w:rsidR="00C10605" w:rsidRPr="00C10605" w:rsidRDefault="00C10605" w:rsidP="00C10605">
      <w:r w:rsidRPr="00C10605">
        <w:pict w14:anchorId="6D969858">
          <v:rect id="_x0000_i1057" style="width:0;height:1.5pt" o:hralign="center" o:hrstd="t" o:hr="t" fillcolor="#a0a0a0" stroked="f"/>
        </w:pict>
      </w:r>
    </w:p>
    <w:p w14:paraId="5554335D" w14:textId="77777777" w:rsidR="00C10605" w:rsidRPr="00C10605" w:rsidRDefault="00C10605" w:rsidP="00C10605">
      <w:pPr>
        <w:rPr>
          <w:b/>
          <w:bCs/>
        </w:rPr>
      </w:pPr>
      <w:r w:rsidRPr="00C10605">
        <w:rPr>
          <w:b/>
          <w:bCs/>
        </w:rPr>
        <w:t>Supporting Documentation</w:t>
      </w:r>
    </w:p>
    <w:p w14:paraId="1A43581F" w14:textId="77777777" w:rsidR="00C10605" w:rsidRPr="00C10605" w:rsidRDefault="00C10605" w:rsidP="00C10605">
      <w:pPr>
        <w:numPr>
          <w:ilvl w:val="0"/>
          <w:numId w:val="1"/>
        </w:numPr>
      </w:pPr>
      <w:r w:rsidRPr="00C10605">
        <w:rPr>
          <w:b/>
          <w:bCs/>
        </w:rPr>
        <w:t>Delegation of Authority Memos</w:t>
      </w:r>
      <w:r w:rsidRPr="00C10605">
        <w:t xml:space="preserve"> — Documents confirming authorization of reviewing officials to compromise or settle cases.</w:t>
      </w:r>
    </w:p>
    <w:p w14:paraId="24984EDE" w14:textId="77777777" w:rsidR="00C10605" w:rsidRPr="00C10605" w:rsidRDefault="00C10605" w:rsidP="00C10605">
      <w:pPr>
        <w:numPr>
          <w:ilvl w:val="0"/>
          <w:numId w:val="1"/>
        </w:numPr>
      </w:pPr>
      <w:r w:rsidRPr="00C10605">
        <w:rPr>
          <w:b/>
          <w:bCs/>
        </w:rPr>
        <w:t>Settlement Correspondence Logs</w:t>
      </w:r>
      <w:r w:rsidRPr="00C10605">
        <w:t xml:space="preserve"> — Case files showing timestamps of complaint issuance and settlement execution.</w:t>
      </w:r>
    </w:p>
    <w:p w14:paraId="02165792" w14:textId="77777777" w:rsidR="00C10605" w:rsidRPr="00C10605" w:rsidRDefault="00C10605" w:rsidP="00C10605">
      <w:pPr>
        <w:numPr>
          <w:ilvl w:val="0"/>
          <w:numId w:val="1"/>
        </w:numPr>
      </w:pPr>
      <w:r w:rsidRPr="00C10605">
        <w:rPr>
          <w:b/>
          <w:bCs/>
        </w:rPr>
        <w:t>Attorney General Notification Letters</w:t>
      </w:r>
      <w:r w:rsidRPr="00C10605">
        <w:t xml:space="preserve"> — Copies of official letters sent at least 30 days prior to settlement, with acknowledgment receipts.</w:t>
      </w:r>
    </w:p>
    <w:p w14:paraId="2E2A2301" w14:textId="77777777" w:rsidR="00C10605" w:rsidRPr="00C10605" w:rsidRDefault="00C10605" w:rsidP="00C10605">
      <w:pPr>
        <w:numPr>
          <w:ilvl w:val="0"/>
          <w:numId w:val="1"/>
        </w:numPr>
      </w:pPr>
      <w:r w:rsidRPr="00C10605">
        <w:rPr>
          <w:b/>
          <w:bCs/>
        </w:rPr>
        <w:t>Case Tracking Records</w:t>
      </w:r>
      <w:r w:rsidRPr="00C10605">
        <w:t xml:space="preserve"> — Audit trail reports showing the procedural timeline for complaint issuance, settlement activity, and ALJ decision dates.</w:t>
      </w:r>
    </w:p>
    <w:p w14:paraId="218DA23A" w14:textId="77777777" w:rsidR="00C10605" w:rsidRPr="00C10605" w:rsidRDefault="00C10605" w:rsidP="00C10605">
      <w:pPr>
        <w:numPr>
          <w:ilvl w:val="0"/>
          <w:numId w:val="1"/>
        </w:numPr>
      </w:pPr>
      <w:r w:rsidRPr="00C10605">
        <w:rPr>
          <w:b/>
          <w:bCs/>
        </w:rPr>
        <w:t>LDMS Audit Reports</w:t>
      </w:r>
      <w:r w:rsidRPr="00C10605">
        <w:t xml:space="preserve"> — Evidence of document retention and verification of communication records stored in the legal repository.</w:t>
      </w:r>
    </w:p>
    <w:p w14:paraId="519552C7" w14:textId="77777777" w:rsidR="00C10605" w:rsidRPr="00C10605" w:rsidRDefault="00C10605" w:rsidP="00C10605">
      <w:r w:rsidRPr="00C10605">
        <w:pict w14:anchorId="455F4E2C">
          <v:rect id="_x0000_i1058" style="width:0;height:1.5pt" o:hralign="center" o:hrstd="t" o:hr="t" fillcolor="#a0a0a0" stroked="f"/>
        </w:pict>
      </w:r>
    </w:p>
    <w:p w14:paraId="68956F9C" w14:textId="77777777" w:rsidR="00C10605" w:rsidRPr="00C10605" w:rsidRDefault="00C10605" w:rsidP="00C10605">
      <w:pPr>
        <w:rPr>
          <w:b/>
          <w:bCs/>
        </w:rPr>
      </w:pPr>
      <w:r w:rsidRPr="00C10605">
        <w:rPr>
          <w:b/>
          <w:bCs/>
        </w:rPr>
        <w:t>Observations</w:t>
      </w:r>
    </w:p>
    <w:p w14:paraId="47E7B346" w14:textId="77777777" w:rsidR="00C10605" w:rsidRPr="00C10605" w:rsidRDefault="00C10605" w:rsidP="00C10605">
      <w:pPr>
        <w:numPr>
          <w:ilvl w:val="0"/>
          <w:numId w:val="2"/>
        </w:numPr>
      </w:pPr>
      <w:r w:rsidRPr="00C10605">
        <w:t>Internal records demonstrate timely notification to the Attorney General prior to settlement actions.</w:t>
      </w:r>
    </w:p>
    <w:p w14:paraId="1ED56B15" w14:textId="77777777" w:rsidR="00C10605" w:rsidRPr="00C10605" w:rsidRDefault="00C10605" w:rsidP="00C10605">
      <w:pPr>
        <w:numPr>
          <w:ilvl w:val="0"/>
          <w:numId w:val="2"/>
        </w:numPr>
      </w:pPr>
      <w:r w:rsidRPr="00C10605">
        <w:t>Document metadata aligns with procedural timing requirements under the applicable regulation.</w:t>
      </w:r>
    </w:p>
    <w:p w14:paraId="7C79D89F" w14:textId="77777777" w:rsidR="00C10605" w:rsidRPr="00C10605" w:rsidRDefault="00C10605" w:rsidP="00C10605">
      <w:pPr>
        <w:numPr>
          <w:ilvl w:val="0"/>
          <w:numId w:val="2"/>
        </w:numPr>
      </w:pPr>
      <w:r w:rsidRPr="00C10605">
        <w:t>Delegation of authority and legal oversight are supported by current authorization records.</w:t>
      </w:r>
    </w:p>
    <w:p w14:paraId="69783D5A" w14:textId="77777777" w:rsidR="00C10605" w:rsidRPr="00C10605" w:rsidRDefault="00C10605" w:rsidP="00C10605">
      <w:pPr>
        <w:numPr>
          <w:ilvl w:val="0"/>
          <w:numId w:val="2"/>
        </w:numPr>
      </w:pPr>
      <w:r w:rsidRPr="00C10605">
        <w:t>No records indicate settlement actions occurred outside the prescribed timeframes.</w:t>
      </w:r>
    </w:p>
    <w:p w14:paraId="44D68D9F" w14:textId="77777777" w:rsidR="00C10605" w:rsidRPr="00C10605" w:rsidRDefault="00C10605" w:rsidP="00C10605">
      <w:r w:rsidRPr="00C10605">
        <w:pict w14:anchorId="7446BE88">
          <v:rect id="_x0000_i1059" style="width:0;height:1.5pt" o:hralign="center" o:hrstd="t" o:hr="t" fillcolor="#a0a0a0" stroked="f"/>
        </w:pict>
      </w:r>
    </w:p>
    <w:p w14:paraId="7603E420" w14:textId="77777777" w:rsidR="00C10605" w:rsidRPr="00C10605" w:rsidRDefault="00C10605" w:rsidP="00C10605">
      <w:pPr>
        <w:rPr>
          <w:b/>
          <w:bCs/>
        </w:rPr>
      </w:pPr>
      <w:r w:rsidRPr="00C10605">
        <w:rPr>
          <w:b/>
          <w:bCs/>
        </w:rPr>
        <w:t>Document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882"/>
        <w:gridCol w:w="1396"/>
        <w:gridCol w:w="2575"/>
        <w:gridCol w:w="2858"/>
      </w:tblGrid>
      <w:tr w:rsidR="00C10605" w:rsidRPr="00C10605" w14:paraId="0C87BF8F" w14:textId="77777777">
        <w:trPr>
          <w:tblHeader/>
          <w:tblCellSpacing w:w="15" w:type="dxa"/>
        </w:trPr>
        <w:tc>
          <w:tcPr>
            <w:tcW w:w="0" w:type="auto"/>
            <w:vAlign w:val="center"/>
            <w:hideMark/>
          </w:tcPr>
          <w:p w14:paraId="0E5397E3" w14:textId="77777777" w:rsidR="00C10605" w:rsidRPr="00C10605" w:rsidRDefault="00C10605" w:rsidP="00C10605">
            <w:pPr>
              <w:rPr>
                <w:b/>
                <w:bCs/>
              </w:rPr>
            </w:pPr>
            <w:r w:rsidRPr="00C10605">
              <w:rPr>
                <w:b/>
                <w:bCs/>
              </w:rPr>
              <w:lastRenderedPageBreak/>
              <w:t>Document ID</w:t>
            </w:r>
          </w:p>
        </w:tc>
        <w:tc>
          <w:tcPr>
            <w:tcW w:w="0" w:type="auto"/>
            <w:vAlign w:val="center"/>
            <w:hideMark/>
          </w:tcPr>
          <w:p w14:paraId="37F6A779" w14:textId="77777777" w:rsidR="00C10605" w:rsidRPr="00C10605" w:rsidRDefault="00C10605" w:rsidP="00C10605">
            <w:pPr>
              <w:rPr>
                <w:b/>
                <w:bCs/>
              </w:rPr>
            </w:pPr>
            <w:r w:rsidRPr="00C10605">
              <w:rPr>
                <w:b/>
                <w:bCs/>
              </w:rPr>
              <w:t>Version</w:t>
            </w:r>
          </w:p>
        </w:tc>
        <w:tc>
          <w:tcPr>
            <w:tcW w:w="0" w:type="auto"/>
            <w:vAlign w:val="center"/>
            <w:hideMark/>
          </w:tcPr>
          <w:p w14:paraId="0C8395CA" w14:textId="77777777" w:rsidR="00C10605" w:rsidRPr="00C10605" w:rsidRDefault="00C10605" w:rsidP="00C10605">
            <w:pPr>
              <w:rPr>
                <w:b/>
                <w:bCs/>
              </w:rPr>
            </w:pPr>
            <w:r w:rsidRPr="00C10605">
              <w:rPr>
                <w:b/>
                <w:bCs/>
              </w:rPr>
              <w:t>Effective Date</w:t>
            </w:r>
          </w:p>
        </w:tc>
        <w:tc>
          <w:tcPr>
            <w:tcW w:w="0" w:type="auto"/>
            <w:vAlign w:val="center"/>
            <w:hideMark/>
          </w:tcPr>
          <w:p w14:paraId="2F162F24" w14:textId="77777777" w:rsidR="00C10605" w:rsidRPr="00C10605" w:rsidRDefault="00C10605" w:rsidP="00C10605">
            <w:pPr>
              <w:rPr>
                <w:b/>
                <w:bCs/>
              </w:rPr>
            </w:pPr>
            <w:r w:rsidRPr="00C10605">
              <w:rPr>
                <w:b/>
                <w:bCs/>
              </w:rPr>
              <w:t>Prepared By</w:t>
            </w:r>
          </w:p>
        </w:tc>
        <w:tc>
          <w:tcPr>
            <w:tcW w:w="0" w:type="auto"/>
            <w:vAlign w:val="center"/>
            <w:hideMark/>
          </w:tcPr>
          <w:p w14:paraId="011B39DF" w14:textId="77777777" w:rsidR="00C10605" w:rsidRPr="00C10605" w:rsidRDefault="00C10605" w:rsidP="00C10605">
            <w:pPr>
              <w:rPr>
                <w:b/>
                <w:bCs/>
              </w:rPr>
            </w:pPr>
            <w:r w:rsidRPr="00C10605">
              <w:rPr>
                <w:b/>
                <w:bCs/>
              </w:rPr>
              <w:t>Reviewed By</w:t>
            </w:r>
          </w:p>
        </w:tc>
      </w:tr>
      <w:tr w:rsidR="00C10605" w:rsidRPr="00C10605" w14:paraId="1467C17C" w14:textId="77777777">
        <w:trPr>
          <w:tblCellSpacing w:w="15" w:type="dxa"/>
        </w:trPr>
        <w:tc>
          <w:tcPr>
            <w:tcW w:w="0" w:type="auto"/>
            <w:vAlign w:val="center"/>
            <w:hideMark/>
          </w:tcPr>
          <w:p w14:paraId="4ECC967C" w14:textId="77777777" w:rsidR="00C10605" w:rsidRPr="00C10605" w:rsidRDefault="00C10605" w:rsidP="00C10605">
            <w:r w:rsidRPr="00C10605">
              <w:t>NYL-LGL-AUTH-EVD</w:t>
            </w:r>
          </w:p>
        </w:tc>
        <w:tc>
          <w:tcPr>
            <w:tcW w:w="0" w:type="auto"/>
            <w:vAlign w:val="center"/>
            <w:hideMark/>
          </w:tcPr>
          <w:p w14:paraId="19B5E79B" w14:textId="77777777" w:rsidR="00C10605" w:rsidRPr="00C10605" w:rsidRDefault="00C10605" w:rsidP="00C10605">
            <w:r w:rsidRPr="00C10605">
              <w:t>1.0</w:t>
            </w:r>
          </w:p>
        </w:tc>
        <w:tc>
          <w:tcPr>
            <w:tcW w:w="0" w:type="auto"/>
            <w:vAlign w:val="center"/>
            <w:hideMark/>
          </w:tcPr>
          <w:p w14:paraId="7282EB4A" w14:textId="77777777" w:rsidR="00C10605" w:rsidRPr="00C10605" w:rsidRDefault="00C10605" w:rsidP="00C10605">
            <w:r w:rsidRPr="00C10605">
              <w:t>October 22, 2025</w:t>
            </w:r>
          </w:p>
        </w:tc>
        <w:tc>
          <w:tcPr>
            <w:tcW w:w="0" w:type="auto"/>
            <w:vAlign w:val="center"/>
            <w:hideMark/>
          </w:tcPr>
          <w:p w14:paraId="238968C0" w14:textId="77777777" w:rsidR="00C10605" w:rsidRPr="00C10605" w:rsidRDefault="00C10605" w:rsidP="00C10605">
            <w:r w:rsidRPr="00C10605">
              <w:rPr>
                <w:b/>
                <w:bCs/>
              </w:rPr>
              <w:t>Madeline R. Cooper</w:t>
            </w:r>
            <w:r w:rsidRPr="00C10605">
              <w:t>, Senior Legal Analyst</w:t>
            </w:r>
          </w:p>
        </w:tc>
        <w:tc>
          <w:tcPr>
            <w:tcW w:w="0" w:type="auto"/>
            <w:vAlign w:val="center"/>
            <w:hideMark/>
          </w:tcPr>
          <w:p w14:paraId="698452C2" w14:textId="77777777" w:rsidR="00C10605" w:rsidRPr="00C10605" w:rsidRDefault="00C10605" w:rsidP="00C10605">
            <w:r w:rsidRPr="00C10605">
              <w:rPr>
                <w:b/>
                <w:bCs/>
              </w:rPr>
              <w:t>Jonathan P. Ellsworth</w:t>
            </w:r>
            <w:r w:rsidRPr="00C10605">
              <w:t>, Director of Legal Affairs</w:t>
            </w:r>
          </w:p>
        </w:tc>
      </w:tr>
    </w:tbl>
    <w:p w14:paraId="0C8408B2" w14:textId="77777777" w:rsidR="00244D48" w:rsidRDefault="00244D48"/>
    <w:sectPr w:rsidR="0024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E1002"/>
    <w:multiLevelType w:val="multilevel"/>
    <w:tmpl w:val="7D30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32770"/>
    <w:multiLevelType w:val="multilevel"/>
    <w:tmpl w:val="6B6C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646882">
    <w:abstractNumId w:val="0"/>
  </w:num>
  <w:num w:numId="2" w16cid:durableId="133846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05"/>
    <w:rsid w:val="00244D48"/>
    <w:rsid w:val="00791142"/>
    <w:rsid w:val="00AE498A"/>
    <w:rsid w:val="00C10605"/>
    <w:rsid w:val="00C243C9"/>
    <w:rsid w:val="00F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ACC3"/>
  <w15:chartTrackingRefBased/>
  <w15:docId w15:val="{F3F6511E-7320-455C-8DCE-CC8B8746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605"/>
    <w:rPr>
      <w:rFonts w:eastAsiaTheme="majorEastAsia" w:cstheme="majorBidi"/>
      <w:color w:val="272727" w:themeColor="text1" w:themeTint="D8"/>
    </w:rPr>
  </w:style>
  <w:style w:type="paragraph" w:styleId="Title">
    <w:name w:val="Title"/>
    <w:basedOn w:val="Normal"/>
    <w:next w:val="Normal"/>
    <w:link w:val="TitleChar"/>
    <w:uiPriority w:val="10"/>
    <w:qFormat/>
    <w:rsid w:val="00C10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605"/>
    <w:pPr>
      <w:spacing w:before="160"/>
      <w:jc w:val="center"/>
    </w:pPr>
    <w:rPr>
      <w:i/>
      <w:iCs/>
      <w:color w:val="404040" w:themeColor="text1" w:themeTint="BF"/>
    </w:rPr>
  </w:style>
  <w:style w:type="character" w:customStyle="1" w:styleId="QuoteChar">
    <w:name w:val="Quote Char"/>
    <w:basedOn w:val="DefaultParagraphFont"/>
    <w:link w:val="Quote"/>
    <w:uiPriority w:val="29"/>
    <w:rsid w:val="00C10605"/>
    <w:rPr>
      <w:i/>
      <w:iCs/>
      <w:color w:val="404040" w:themeColor="text1" w:themeTint="BF"/>
    </w:rPr>
  </w:style>
  <w:style w:type="paragraph" w:styleId="ListParagraph">
    <w:name w:val="List Paragraph"/>
    <w:basedOn w:val="Normal"/>
    <w:uiPriority w:val="34"/>
    <w:qFormat/>
    <w:rsid w:val="00C10605"/>
    <w:pPr>
      <w:ind w:left="720"/>
      <w:contextualSpacing/>
    </w:pPr>
  </w:style>
  <w:style w:type="character" w:styleId="IntenseEmphasis">
    <w:name w:val="Intense Emphasis"/>
    <w:basedOn w:val="DefaultParagraphFont"/>
    <w:uiPriority w:val="21"/>
    <w:qFormat/>
    <w:rsid w:val="00C10605"/>
    <w:rPr>
      <w:i/>
      <w:iCs/>
      <w:color w:val="0F4761" w:themeColor="accent1" w:themeShade="BF"/>
    </w:rPr>
  </w:style>
  <w:style w:type="paragraph" w:styleId="IntenseQuote">
    <w:name w:val="Intense Quote"/>
    <w:basedOn w:val="Normal"/>
    <w:next w:val="Normal"/>
    <w:link w:val="IntenseQuoteChar"/>
    <w:uiPriority w:val="30"/>
    <w:qFormat/>
    <w:rsid w:val="00C10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605"/>
    <w:rPr>
      <w:i/>
      <w:iCs/>
      <w:color w:val="0F4761" w:themeColor="accent1" w:themeShade="BF"/>
    </w:rPr>
  </w:style>
  <w:style w:type="character" w:styleId="IntenseReference">
    <w:name w:val="Intense Reference"/>
    <w:basedOn w:val="DefaultParagraphFont"/>
    <w:uiPriority w:val="32"/>
    <w:qFormat/>
    <w:rsid w:val="00C106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Payne</dc:creator>
  <cp:keywords/>
  <dc:description/>
  <cp:lastModifiedBy>Taylor Payne</cp:lastModifiedBy>
  <cp:revision>1</cp:revision>
  <dcterms:created xsi:type="dcterms:W3CDTF">2025-10-22T15:15:00Z</dcterms:created>
  <dcterms:modified xsi:type="dcterms:W3CDTF">2025-10-22T15:16:00Z</dcterms:modified>
</cp:coreProperties>
</file>