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6D401" w14:textId="0D288660" w:rsidR="00A573A3" w:rsidRPr="00A573A3" w:rsidRDefault="00A573A3" w:rsidP="00A573A3">
      <w:pPr>
        <w:rPr>
          <w:b/>
          <w:bCs/>
          <w:lang w:val="fr-FR"/>
        </w:rPr>
      </w:pPr>
      <w:proofErr w:type="spellStart"/>
      <w:r w:rsidRPr="00A573A3">
        <w:rPr>
          <w:b/>
          <w:bCs/>
          <w:lang w:val="fr-FR"/>
        </w:rPr>
        <w:t>Terry</w:t>
      </w:r>
      <w:r>
        <w:rPr>
          <w:b/>
          <w:bCs/>
          <w:lang w:val="fr-FR"/>
        </w:rPr>
        <w:t>’</w:t>
      </w:r>
      <w:r w:rsidRPr="00A573A3">
        <w:rPr>
          <w:b/>
          <w:bCs/>
          <w:lang w:val="fr-FR"/>
        </w:rPr>
        <w:t>s</w:t>
      </w:r>
      <w:proofErr w:type="spellEnd"/>
      <w:r w:rsidRPr="00A573A3">
        <w:rPr>
          <w:b/>
          <w:bCs/>
          <w:lang w:val="fr-FR"/>
        </w:rPr>
        <w:t xml:space="preserve"> Agriculture </w:t>
      </w:r>
    </w:p>
    <w:p w14:paraId="3DB01510" w14:textId="2493582B" w:rsidR="00A573A3" w:rsidRPr="00A573A3" w:rsidRDefault="00A573A3" w:rsidP="00A573A3">
      <w:pPr>
        <w:rPr>
          <w:b/>
          <w:bCs/>
          <w:lang w:val="fr-FR"/>
        </w:rPr>
      </w:pPr>
      <w:r w:rsidRPr="00A573A3">
        <w:rPr>
          <w:b/>
          <w:bCs/>
          <w:lang w:val="fr-FR"/>
        </w:rPr>
        <w:t>Agricultural Standards Document</w:t>
      </w:r>
    </w:p>
    <w:p w14:paraId="2724D377" w14:textId="77777777" w:rsidR="00A573A3" w:rsidRPr="00A573A3" w:rsidRDefault="00A573A3" w:rsidP="00A573A3">
      <w:r w:rsidRPr="00A573A3">
        <w:rPr>
          <w:b/>
          <w:bCs/>
        </w:rPr>
        <w:t>Date:</w:t>
      </w:r>
      <w:r w:rsidRPr="00A573A3">
        <w:t xml:space="preserve"> October 22, 2025</w:t>
      </w:r>
      <w:r w:rsidRPr="00A573A3">
        <w:br/>
      </w:r>
      <w:r w:rsidRPr="00A573A3">
        <w:rPr>
          <w:b/>
          <w:bCs/>
        </w:rPr>
        <w:t>Prepared by:</w:t>
      </w:r>
      <w:r w:rsidRPr="00A573A3">
        <w:t xml:space="preserve"> Agricultural Quality and Compliance Team</w:t>
      </w:r>
    </w:p>
    <w:p w14:paraId="4AD14F1A" w14:textId="77777777" w:rsidR="00A573A3" w:rsidRPr="00A573A3" w:rsidRDefault="00476CA3" w:rsidP="00A573A3">
      <w:r>
        <w:pict w14:anchorId="1C94B910">
          <v:rect id="_x0000_i1025" style="width:0;height:1.5pt" o:hralign="center" o:hrstd="t" o:hr="t" fillcolor="#a0a0a0" stroked="f"/>
        </w:pict>
      </w:r>
    </w:p>
    <w:p w14:paraId="5AD46E3D" w14:textId="77777777" w:rsidR="00A573A3" w:rsidRPr="00A573A3" w:rsidRDefault="00A573A3" w:rsidP="00A573A3">
      <w:pPr>
        <w:rPr>
          <w:b/>
          <w:bCs/>
        </w:rPr>
      </w:pPr>
      <w:r w:rsidRPr="00A573A3">
        <w:rPr>
          <w:b/>
          <w:bCs/>
        </w:rPr>
        <w:t>Purpose</w:t>
      </w:r>
    </w:p>
    <w:p w14:paraId="2295F32D" w14:textId="01CB1E12" w:rsidR="00A573A3" w:rsidRPr="00A573A3" w:rsidRDefault="00A573A3" w:rsidP="00A573A3">
      <w:r w:rsidRPr="00A573A3">
        <w:t xml:space="preserve">This document provides evidence supporting </w:t>
      </w:r>
      <w:r>
        <w:t xml:space="preserve">Terry’s Agriculture’s </w:t>
      </w:r>
      <w:r w:rsidRPr="00A573A3">
        <w:t>compliance with internal and regulatory agricultural water standards. The information below outlines the measures in place to ensure quality, inspection, maintenance, recordkeeping, and microbial testing of agricultural water used in irrigation and harvesting.</w:t>
      </w:r>
    </w:p>
    <w:p w14:paraId="6D9ED718" w14:textId="77777777" w:rsidR="00A573A3" w:rsidRPr="00A573A3" w:rsidRDefault="00476CA3" w:rsidP="00A573A3">
      <w:r>
        <w:pict w14:anchorId="108C6645">
          <v:rect id="_x0000_i1026" style="width:0;height:1.5pt" o:hralign="center" o:hrstd="t" o:hr="t" fillcolor="#a0a0a0" stroked="f"/>
        </w:pict>
      </w:r>
    </w:p>
    <w:p w14:paraId="01AE9415" w14:textId="77777777" w:rsidR="00A573A3" w:rsidRPr="00A573A3" w:rsidRDefault="00A573A3" w:rsidP="00A573A3">
      <w:pPr>
        <w:rPr>
          <w:b/>
          <w:bCs/>
        </w:rPr>
      </w:pPr>
      <w:r w:rsidRPr="00A573A3">
        <w:rPr>
          <w:b/>
          <w:bCs/>
        </w:rPr>
        <w:t>Evidence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4"/>
        <w:gridCol w:w="7116"/>
      </w:tblGrid>
      <w:tr w:rsidR="00A573A3" w:rsidRPr="00A573A3" w14:paraId="1986E3D2" w14:textId="77777777">
        <w:trPr>
          <w:tblHeader/>
          <w:tblCellSpacing w:w="15" w:type="dxa"/>
        </w:trPr>
        <w:tc>
          <w:tcPr>
            <w:tcW w:w="0" w:type="auto"/>
            <w:vAlign w:val="center"/>
            <w:hideMark/>
          </w:tcPr>
          <w:p w14:paraId="21738D86" w14:textId="77777777" w:rsidR="00A573A3" w:rsidRPr="00A573A3" w:rsidRDefault="00A573A3" w:rsidP="00A573A3">
            <w:pPr>
              <w:rPr>
                <w:b/>
                <w:bCs/>
              </w:rPr>
            </w:pPr>
            <w:r w:rsidRPr="00A573A3">
              <w:rPr>
                <w:b/>
                <w:bCs/>
              </w:rPr>
              <w:t>Requirement</w:t>
            </w:r>
          </w:p>
        </w:tc>
        <w:tc>
          <w:tcPr>
            <w:tcW w:w="0" w:type="auto"/>
            <w:vAlign w:val="center"/>
            <w:hideMark/>
          </w:tcPr>
          <w:p w14:paraId="69090161" w14:textId="77777777" w:rsidR="00A573A3" w:rsidRPr="00A573A3" w:rsidRDefault="00A573A3" w:rsidP="00A573A3">
            <w:pPr>
              <w:rPr>
                <w:b/>
                <w:bCs/>
              </w:rPr>
            </w:pPr>
            <w:r w:rsidRPr="00A573A3">
              <w:rPr>
                <w:b/>
                <w:bCs/>
              </w:rPr>
              <w:t>Evidence Description</w:t>
            </w:r>
          </w:p>
        </w:tc>
      </w:tr>
      <w:tr w:rsidR="00A573A3" w:rsidRPr="00A573A3" w14:paraId="018C0CB7" w14:textId="77777777">
        <w:trPr>
          <w:tblCellSpacing w:w="15" w:type="dxa"/>
        </w:trPr>
        <w:tc>
          <w:tcPr>
            <w:tcW w:w="0" w:type="auto"/>
            <w:vAlign w:val="center"/>
            <w:hideMark/>
          </w:tcPr>
          <w:p w14:paraId="66DEB33F" w14:textId="77777777" w:rsidR="00A573A3" w:rsidRPr="00A573A3" w:rsidRDefault="00A573A3" w:rsidP="00A573A3">
            <w:r w:rsidRPr="00A573A3">
              <w:rPr>
                <w:b/>
                <w:bCs/>
              </w:rPr>
              <w:t>Agricultural Water Quality Standard</w:t>
            </w:r>
          </w:p>
        </w:tc>
        <w:tc>
          <w:tcPr>
            <w:tcW w:w="0" w:type="auto"/>
            <w:vAlign w:val="center"/>
            <w:hideMark/>
          </w:tcPr>
          <w:p w14:paraId="088F6E6D" w14:textId="77777777" w:rsidR="00A573A3" w:rsidRPr="00A573A3" w:rsidRDefault="00A573A3" w:rsidP="00A573A3">
            <w:r w:rsidRPr="00A573A3">
              <w:t xml:space="preserve">All uses of agricultural water </w:t>
            </w:r>
            <w:r w:rsidRPr="00A573A3">
              <w:rPr>
                <w:b/>
                <w:bCs/>
              </w:rPr>
              <w:t>meet a defined quality standard</w:t>
            </w:r>
            <w:r w:rsidRPr="00A573A3">
              <w:t>. Supporting evidence includes laboratory test reports demonstrating that agricultural water used in production meets all applicable microbial and chemical quality thresholds.</w:t>
            </w:r>
          </w:p>
        </w:tc>
      </w:tr>
      <w:tr w:rsidR="00A573A3" w:rsidRPr="00A573A3" w14:paraId="361A1F7D" w14:textId="77777777">
        <w:trPr>
          <w:tblCellSpacing w:w="15" w:type="dxa"/>
        </w:trPr>
        <w:tc>
          <w:tcPr>
            <w:tcW w:w="0" w:type="auto"/>
            <w:vAlign w:val="center"/>
            <w:hideMark/>
          </w:tcPr>
          <w:p w14:paraId="74D07609" w14:textId="77777777" w:rsidR="00A573A3" w:rsidRPr="00A573A3" w:rsidRDefault="00A573A3" w:rsidP="00A573A3">
            <w:r w:rsidRPr="00A573A3">
              <w:rPr>
                <w:b/>
                <w:bCs/>
              </w:rPr>
              <w:t>Inspection and Maintenance</w:t>
            </w:r>
          </w:p>
        </w:tc>
        <w:tc>
          <w:tcPr>
            <w:tcW w:w="0" w:type="auto"/>
            <w:vAlign w:val="center"/>
            <w:hideMark/>
          </w:tcPr>
          <w:p w14:paraId="7C4D21E4" w14:textId="77777777" w:rsidR="00A573A3" w:rsidRPr="00A573A3" w:rsidRDefault="00A573A3" w:rsidP="00A573A3">
            <w:r w:rsidRPr="00A573A3">
              <w:t xml:space="preserve">All uses of agricultural water </w:t>
            </w:r>
            <w:r w:rsidRPr="00A573A3">
              <w:rPr>
                <w:b/>
                <w:bCs/>
              </w:rPr>
              <w:t>are subject to regular inspections and maintenance</w:t>
            </w:r>
            <w:r w:rsidRPr="00A573A3">
              <w:t>. Documentation includes inspection logs, maintenance records, and calibration reports verifying ongoing compliance.</w:t>
            </w:r>
          </w:p>
        </w:tc>
      </w:tr>
      <w:tr w:rsidR="00A573A3" w:rsidRPr="00A573A3" w14:paraId="28D8F689" w14:textId="77777777">
        <w:trPr>
          <w:tblCellSpacing w:w="15" w:type="dxa"/>
        </w:trPr>
        <w:tc>
          <w:tcPr>
            <w:tcW w:w="0" w:type="auto"/>
            <w:vAlign w:val="center"/>
            <w:hideMark/>
          </w:tcPr>
          <w:p w14:paraId="2336DB66" w14:textId="77777777" w:rsidR="00A573A3" w:rsidRPr="00A573A3" w:rsidRDefault="00A573A3" w:rsidP="00A573A3">
            <w:r w:rsidRPr="00A573A3">
              <w:rPr>
                <w:b/>
                <w:bCs/>
              </w:rPr>
              <w:t>Recordkeeping</w:t>
            </w:r>
          </w:p>
        </w:tc>
        <w:tc>
          <w:tcPr>
            <w:tcW w:w="0" w:type="auto"/>
            <w:vAlign w:val="center"/>
            <w:hideMark/>
          </w:tcPr>
          <w:p w14:paraId="0A8B9B7E" w14:textId="77777777" w:rsidR="00A573A3" w:rsidRPr="00A573A3" w:rsidRDefault="00A573A3" w:rsidP="00A573A3">
            <w:r w:rsidRPr="00A573A3">
              <w:t xml:space="preserve">All uses of agricultural water </w:t>
            </w:r>
            <w:r w:rsidRPr="00A573A3">
              <w:rPr>
                <w:b/>
                <w:bCs/>
              </w:rPr>
              <w:t>maintain regular records of water used</w:t>
            </w:r>
            <w:r w:rsidRPr="00A573A3">
              <w:t>. Evidence includes digital and manual records maintained in the Agricultural Water Management System, confirming volumes, dates, and sources of water applied.</w:t>
            </w:r>
          </w:p>
        </w:tc>
      </w:tr>
      <w:tr w:rsidR="00A573A3" w:rsidRPr="00A573A3" w14:paraId="5A382253" w14:textId="77777777">
        <w:trPr>
          <w:tblCellSpacing w:w="15" w:type="dxa"/>
        </w:trPr>
        <w:tc>
          <w:tcPr>
            <w:tcW w:w="0" w:type="auto"/>
            <w:vAlign w:val="center"/>
            <w:hideMark/>
          </w:tcPr>
          <w:p w14:paraId="26769D5E" w14:textId="77777777" w:rsidR="00A573A3" w:rsidRPr="00A573A3" w:rsidRDefault="00A573A3" w:rsidP="00A573A3">
            <w:r w:rsidRPr="00A573A3">
              <w:rPr>
                <w:b/>
                <w:bCs/>
              </w:rPr>
              <w:t>Microbial Quality Criterion</w:t>
            </w:r>
          </w:p>
        </w:tc>
        <w:tc>
          <w:tcPr>
            <w:tcW w:w="0" w:type="auto"/>
            <w:vAlign w:val="center"/>
            <w:hideMark/>
          </w:tcPr>
          <w:p w14:paraId="2F7FF072" w14:textId="77777777" w:rsidR="00A573A3" w:rsidRPr="00A573A3" w:rsidRDefault="00A573A3" w:rsidP="00A573A3">
            <w:r w:rsidRPr="00A573A3">
              <w:rPr>
                <w:b/>
                <w:bCs/>
              </w:rPr>
              <w:t>Irrigation and harvesting activities</w:t>
            </w:r>
            <w:r w:rsidRPr="00A573A3">
              <w:t xml:space="preserve"> undergo </w:t>
            </w:r>
            <w:r w:rsidRPr="00A573A3">
              <w:rPr>
                <w:b/>
                <w:bCs/>
              </w:rPr>
              <w:t>Microbial Quality Criterion</w:t>
            </w:r>
            <w:r w:rsidRPr="00A573A3">
              <w:t xml:space="preserve"> testing. Laboratory analysis reports demonstrate compliance with microbial limits for safe agricultural use.</w:t>
            </w:r>
          </w:p>
        </w:tc>
      </w:tr>
    </w:tbl>
    <w:p w14:paraId="3689ACFC" w14:textId="77777777" w:rsidR="00A573A3" w:rsidRPr="00A573A3" w:rsidRDefault="00476CA3" w:rsidP="00A573A3">
      <w:r>
        <w:pict w14:anchorId="753C152B">
          <v:rect id="_x0000_i1027" style="width:0;height:1.5pt" o:hralign="center" o:hrstd="t" o:hr="t" fillcolor="#a0a0a0" stroked="f"/>
        </w:pict>
      </w:r>
    </w:p>
    <w:p w14:paraId="5ABE096D" w14:textId="77777777" w:rsidR="00A573A3" w:rsidRPr="00A573A3" w:rsidRDefault="00A573A3" w:rsidP="00A573A3">
      <w:pPr>
        <w:rPr>
          <w:b/>
          <w:bCs/>
        </w:rPr>
      </w:pPr>
      <w:r w:rsidRPr="00A573A3">
        <w:rPr>
          <w:b/>
          <w:bCs/>
        </w:rPr>
        <w:t>Supporting Documentation</w:t>
      </w:r>
    </w:p>
    <w:p w14:paraId="477C782F" w14:textId="77777777" w:rsidR="00A573A3" w:rsidRPr="00A573A3" w:rsidRDefault="00A573A3" w:rsidP="00A573A3">
      <w:pPr>
        <w:numPr>
          <w:ilvl w:val="0"/>
          <w:numId w:val="1"/>
        </w:numPr>
      </w:pPr>
      <w:r w:rsidRPr="00A573A3">
        <w:rPr>
          <w:b/>
          <w:bCs/>
        </w:rPr>
        <w:lastRenderedPageBreak/>
        <w:t>Water Quality Test Reports</w:t>
      </w:r>
      <w:r w:rsidRPr="00A573A3">
        <w:t xml:space="preserve"> — Annual and quarterly test results showing compliance with water safety parameters.</w:t>
      </w:r>
    </w:p>
    <w:p w14:paraId="0D1B77E5" w14:textId="77777777" w:rsidR="00A573A3" w:rsidRPr="00A573A3" w:rsidRDefault="00A573A3" w:rsidP="00A573A3">
      <w:pPr>
        <w:numPr>
          <w:ilvl w:val="0"/>
          <w:numId w:val="1"/>
        </w:numPr>
      </w:pPr>
      <w:r w:rsidRPr="00A573A3">
        <w:rPr>
          <w:b/>
          <w:bCs/>
        </w:rPr>
        <w:t>Inspection and Maintenance Logs</w:t>
      </w:r>
      <w:r w:rsidRPr="00A573A3">
        <w:t xml:space="preserve"> — Completed checklists and verification forms confirming regular equipment inspection and preventive maintenance.</w:t>
      </w:r>
    </w:p>
    <w:p w14:paraId="71D35757" w14:textId="77777777" w:rsidR="00A573A3" w:rsidRPr="00A573A3" w:rsidRDefault="00A573A3" w:rsidP="00A573A3">
      <w:pPr>
        <w:numPr>
          <w:ilvl w:val="0"/>
          <w:numId w:val="1"/>
        </w:numPr>
      </w:pPr>
      <w:r w:rsidRPr="00A573A3">
        <w:rPr>
          <w:b/>
          <w:bCs/>
        </w:rPr>
        <w:t>Water Usage Records</w:t>
      </w:r>
      <w:r w:rsidRPr="00A573A3">
        <w:t xml:space="preserve"> — System logs verifying consistent data entry and audit trails for all water used in agricultural processes.</w:t>
      </w:r>
    </w:p>
    <w:p w14:paraId="53CAABED" w14:textId="77777777" w:rsidR="00A573A3" w:rsidRPr="00A573A3" w:rsidRDefault="00A573A3" w:rsidP="00A573A3">
      <w:pPr>
        <w:numPr>
          <w:ilvl w:val="0"/>
          <w:numId w:val="1"/>
        </w:numPr>
      </w:pPr>
      <w:r w:rsidRPr="00A573A3">
        <w:rPr>
          <w:b/>
          <w:bCs/>
        </w:rPr>
        <w:t>Microbial Testing Reports</w:t>
      </w:r>
      <w:r w:rsidRPr="00A573A3">
        <w:t xml:space="preserve"> — Microbial analysis certificates demonstrating compliance with internal and regulatory microbial quality criteria.</w:t>
      </w:r>
    </w:p>
    <w:p w14:paraId="21327EBD" w14:textId="77777777" w:rsidR="00A573A3" w:rsidRPr="00A573A3" w:rsidRDefault="00476CA3" w:rsidP="00A573A3">
      <w:r>
        <w:pict w14:anchorId="1D0503FD">
          <v:rect id="_x0000_i1028" style="width:0;height:1.5pt" o:hralign="center" o:hrstd="t" o:hr="t" fillcolor="#a0a0a0" stroked="f"/>
        </w:pict>
      </w:r>
    </w:p>
    <w:p w14:paraId="2934D1C2" w14:textId="77777777" w:rsidR="00A573A3" w:rsidRPr="00A573A3" w:rsidRDefault="00A573A3" w:rsidP="00A573A3">
      <w:pPr>
        <w:rPr>
          <w:b/>
          <w:bCs/>
        </w:rPr>
      </w:pPr>
      <w:r w:rsidRPr="00A573A3">
        <w:rPr>
          <w:b/>
          <w:bCs/>
        </w:rPr>
        <w:t>Document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882"/>
        <w:gridCol w:w="1604"/>
        <w:gridCol w:w="2830"/>
        <w:gridCol w:w="1940"/>
      </w:tblGrid>
      <w:tr w:rsidR="00A573A3" w:rsidRPr="00A573A3" w14:paraId="07611D24" w14:textId="77777777">
        <w:trPr>
          <w:tblHeader/>
          <w:tblCellSpacing w:w="15" w:type="dxa"/>
        </w:trPr>
        <w:tc>
          <w:tcPr>
            <w:tcW w:w="0" w:type="auto"/>
            <w:vAlign w:val="center"/>
            <w:hideMark/>
          </w:tcPr>
          <w:p w14:paraId="6A5FC2AF" w14:textId="77777777" w:rsidR="00A573A3" w:rsidRPr="00A573A3" w:rsidRDefault="00A573A3" w:rsidP="00A573A3">
            <w:pPr>
              <w:rPr>
                <w:b/>
                <w:bCs/>
              </w:rPr>
            </w:pPr>
            <w:r w:rsidRPr="00A573A3">
              <w:rPr>
                <w:b/>
                <w:bCs/>
              </w:rPr>
              <w:t>Document ID</w:t>
            </w:r>
          </w:p>
        </w:tc>
        <w:tc>
          <w:tcPr>
            <w:tcW w:w="0" w:type="auto"/>
            <w:vAlign w:val="center"/>
            <w:hideMark/>
          </w:tcPr>
          <w:p w14:paraId="76BCB127" w14:textId="77777777" w:rsidR="00A573A3" w:rsidRPr="00A573A3" w:rsidRDefault="00A573A3" w:rsidP="00A573A3">
            <w:pPr>
              <w:rPr>
                <w:b/>
                <w:bCs/>
              </w:rPr>
            </w:pPr>
            <w:r w:rsidRPr="00A573A3">
              <w:rPr>
                <w:b/>
                <w:bCs/>
              </w:rPr>
              <w:t>Version</w:t>
            </w:r>
          </w:p>
        </w:tc>
        <w:tc>
          <w:tcPr>
            <w:tcW w:w="0" w:type="auto"/>
            <w:vAlign w:val="center"/>
            <w:hideMark/>
          </w:tcPr>
          <w:p w14:paraId="3FE50F7E" w14:textId="77777777" w:rsidR="00A573A3" w:rsidRPr="00A573A3" w:rsidRDefault="00A573A3" w:rsidP="00A573A3">
            <w:pPr>
              <w:rPr>
                <w:b/>
                <w:bCs/>
              </w:rPr>
            </w:pPr>
            <w:r w:rsidRPr="00A573A3">
              <w:rPr>
                <w:b/>
                <w:bCs/>
              </w:rPr>
              <w:t>Effective Date</w:t>
            </w:r>
          </w:p>
        </w:tc>
        <w:tc>
          <w:tcPr>
            <w:tcW w:w="0" w:type="auto"/>
            <w:vAlign w:val="center"/>
            <w:hideMark/>
          </w:tcPr>
          <w:p w14:paraId="51902505" w14:textId="77777777" w:rsidR="00A573A3" w:rsidRPr="00A573A3" w:rsidRDefault="00A573A3" w:rsidP="00A573A3">
            <w:pPr>
              <w:rPr>
                <w:b/>
                <w:bCs/>
              </w:rPr>
            </w:pPr>
            <w:r w:rsidRPr="00A573A3">
              <w:rPr>
                <w:b/>
                <w:bCs/>
              </w:rPr>
              <w:t>Prepared By</w:t>
            </w:r>
          </w:p>
        </w:tc>
        <w:tc>
          <w:tcPr>
            <w:tcW w:w="0" w:type="auto"/>
            <w:vAlign w:val="center"/>
            <w:hideMark/>
          </w:tcPr>
          <w:p w14:paraId="21E91F43" w14:textId="77777777" w:rsidR="00A573A3" w:rsidRPr="00A573A3" w:rsidRDefault="00A573A3" w:rsidP="00A573A3">
            <w:pPr>
              <w:rPr>
                <w:b/>
                <w:bCs/>
              </w:rPr>
            </w:pPr>
            <w:r w:rsidRPr="00A573A3">
              <w:rPr>
                <w:b/>
                <w:bCs/>
              </w:rPr>
              <w:t>Reviewed By</w:t>
            </w:r>
          </w:p>
        </w:tc>
      </w:tr>
      <w:tr w:rsidR="00A573A3" w:rsidRPr="00A573A3" w14:paraId="6A2EA70A" w14:textId="77777777">
        <w:trPr>
          <w:tblCellSpacing w:w="15" w:type="dxa"/>
        </w:trPr>
        <w:tc>
          <w:tcPr>
            <w:tcW w:w="0" w:type="auto"/>
            <w:vAlign w:val="center"/>
            <w:hideMark/>
          </w:tcPr>
          <w:p w14:paraId="33A7B2B7" w14:textId="77777777" w:rsidR="00A573A3" w:rsidRPr="00A573A3" w:rsidRDefault="00A573A3" w:rsidP="00A573A3">
            <w:r w:rsidRPr="00A573A3">
              <w:t>BCP-AG-WTR-STD-EVD</w:t>
            </w:r>
          </w:p>
        </w:tc>
        <w:tc>
          <w:tcPr>
            <w:tcW w:w="0" w:type="auto"/>
            <w:vAlign w:val="center"/>
            <w:hideMark/>
          </w:tcPr>
          <w:p w14:paraId="437FD8A4" w14:textId="77777777" w:rsidR="00A573A3" w:rsidRPr="00A573A3" w:rsidRDefault="00A573A3" w:rsidP="00A573A3">
            <w:r w:rsidRPr="00A573A3">
              <w:t>1.0</w:t>
            </w:r>
          </w:p>
        </w:tc>
        <w:tc>
          <w:tcPr>
            <w:tcW w:w="0" w:type="auto"/>
            <w:vAlign w:val="center"/>
            <w:hideMark/>
          </w:tcPr>
          <w:p w14:paraId="1AA6F455" w14:textId="77777777" w:rsidR="00A573A3" w:rsidRPr="00A573A3" w:rsidRDefault="00A573A3" w:rsidP="00A573A3">
            <w:r w:rsidRPr="00A573A3">
              <w:t>October 22, 2025</w:t>
            </w:r>
          </w:p>
        </w:tc>
        <w:tc>
          <w:tcPr>
            <w:tcW w:w="0" w:type="auto"/>
            <w:vAlign w:val="center"/>
            <w:hideMark/>
          </w:tcPr>
          <w:p w14:paraId="11F811CF" w14:textId="1D257199" w:rsidR="00A573A3" w:rsidRPr="00A573A3" w:rsidRDefault="00A573A3" w:rsidP="00A573A3">
            <w:r>
              <w:t>Terry Brown</w:t>
            </w:r>
            <w:r w:rsidRPr="00A573A3">
              <w:t>, Compliance Analyst</w:t>
            </w:r>
          </w:p>
        </w:tc>
        <w:tc>
          <w:tcPr>
            <w:tcW w:w="0" w:type="auto"/>
            <w:vAlign w:val="center"/>
            <w:hideMark/>
          </w:tcPr>
          <w:p w14:paraId="74CFFD20" w14:textId="722142C8" w:rsidR="00A573A3" w:rsidRPr="00A573A3" w:rsidRDefault="00A573A3" w:rsidP="00A573A3">
            <w:r>
              <w:t>Billy Bob</w:t>
            </w:r>
            <w:r w:rsidRPr="00A573A3">
              <w:t>, QA Director</w:t>
            </w:r>
          </w:p>
        </w:tc>
      </w:tr>
    </w:tbl>
    <w:p w14:paraId="04749D15" w14:textId="083CB913" w:rsidR="00244D48" w:rsidRPr="00A573A3" w:rsidRDefault="00244D48" w:rsidP="00A573A3"/>
    <w:sectPr w:rsidR="00244D48" w:rsidRPr="00A57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1A2CF0"/>
    <w:multiLevelType w:val="multilevel"/>
    <w:tmpl w:val="5C56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502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A3"/>
    <w:rsid w:val="00244D48"/>
    <w:rsid w:val="00791142"/>
    <w:rsid w:val="00A573A3"/>
    <w:rsid w:val="00AE498A"/>
    <w:rsid w:val="00C243C9"/>
    <w:rsid w:val="00DF771A"/>
    <w:rsid w:val="00F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5CDCB1A"/>
  <w15:chartTrackingRefBased/>
  <w15:docId w15:val="{7192CC52-356C-40D9-9FC9-AF313210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3A3"/>
    <w:rPr>
      <w:rFonts w:eastAsiaTheme="majorEastAsia" w:cstheme="majorBidi"/>
      <w:color w:val="272727" w:themeColor="text1" w:themeTint="D8"/>
    </w:rPr>
  </w:style>
  <w:style w:type="paragraph" w:styleId="Title">
    <w:name w:val="Title"/>
    <w:basedOn w:val="Normal"/>
    <w:next w:val="Normal"/>
    <w:link w:val="TitleChar"/>
    <w:uiPriority w:val="10"/>
    <w:qFormat/>
    <w:rsid w:val="00A57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3A3"/>
    <w:pPr>
      <w:spacing w:before="160"/>
      <w:jc w:val="center"/>
    </w:pPr>
    <w:rPr>
      <w:i/>
      <w:iCs/>
      <w:color w:val="404040" w:themeColor="text1" w:themeTint="BF"/>
    </w:rPr>
  </w:style>
  <w:style w:type="character" w:customStyle="1" w:styleId="QuoteChar">
    <w:name w:val="Quote Char"/>
    <w:basedOn w:val="DefaultParagraphFont"/>
    <w:link w:val="Quote"/>
    <w:uiPriority w:val="29"/>
    <w:rsid w:val="00A573A3"/>
    <w:rPr>
      <w:i/>
      <w:iCs/>
      <w:color w:val="404040" w:themeColor="text1" w:themeTint="BF"/>
    </w:rPr>
  </w:style>
  <w:style w:type="paragraph" w:styleId="ListParagraph">
    <w:name w:val="List Paragraph"/>
    <w:basedOn w:val="Normal"/>
    <w:uiPriority w:val="34"/>
    <w:qFormat/>
    <w:rsid w:val="00A573A3"/>
    <w:pPr>
      <w:ind w:left="720"/>
      <w:contextualSpacing/>
    </w:pPr>
  </w:style>
  <w:style w:type="character" w:styleId="IntenseEmphasis">
    <w:name w:val="Intense Emphasis"/>
    <w:basedOn w:val="DefaultParagraphFont"/>
    <w:uiPriority w:val="21"/>
    <w:qFormat/>
    <w:rsid w:val="00A573A3"/>
    <w:rPr>
      <w:i/>
      <w:iCs/>
      <w:color w:val="0F4761" w:themeColor="accent1" w:themeShade="BF"/>
    </w:rPr>
  </w:style>
  <w:style w:type="paragraph" w:styleId="IntenseQuote">
    <w:name w:val="Intense Quote"/>
    <w:basedOn w:val="Normal"/>
    <w:next w:val="Normal"/>
    <w:link w:val="IntenseQuoteChar"/>
    <w:uiPriority w:val="30"/>
    <w:qFormat/>
    <w:rsid w:val="00A57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3A3"/>
    <w:rPr>
      <w:i/>
      <w:iCs/>
      <w:color w:val="0F4761" w:themeColor="accent1" w:themeShade="BF"/>
    </w:rPr>
  </w:style>
  <w:style w:type="character" w:styleId="IntenseReference">
    <w:name w:val="Intense Reference"/>
    <w:basedOn w:val="DefaultParagraphFont"/>
    <w:uiPriority w:val="32"/>
    <w:qFormat/>
    <w:rsid w:val="00A573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Payne</dc:creator>
  <cp:keywords/>
  <dc:description/>
  <cp:lastModifiedBy>Taylor Payne</cp:lastModifiedBy>
  <cp:revision>2</cp:revision>
  <dcterms:created xsi:type="dcterms:W3CDTF">2025-10-22T14:54:00Z</dcterms:created>
  <dcterms:modified xsi:type="dcterms:W3CDTF">2025-10-22T14:54:00Z</dcterms:modified>
</cp:coreProperties>
</file>