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hpdg8o6rt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ANNOUNCEMENT OF GOVERNANCE CLARIFICATION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78zbg2wl1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 All Entities Claiming Oversight, Regulation, or Normative Authority Over the SSPS IP Stack Infrastructure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swo4dfaie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Issued Under the Framework of the RBGA Infrastructure Charter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c8ivt9a3v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This Notice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announcement serves as a formal clarification to any organization, consortium, foundation, standards body, platform, or private entity asserting governance, rule‑setting, or normative authority over components of the </w:t>
      </w:r>
      <w:r w:rsidDel="00000000" w:rsidR="00000000" w:rsidRPr="00000000">
        <w:rPr>
          <w:b w:val="1"/>
          <w:bCs w:val="1"/>
          <w:rtl w:val="0"/>
        </w:rPr>
        <w:t xml:space="preserve">SSPS IP Stack</w:t>
      </w:r>
      <w:r w:rsidDel="00000000" w:rsidR="00000000" w:rsidRPr="00000000">
        <w:rPr>
          <w:rtl w:val="0"/>
        </w:rPr>
        <w:t xml:space="preserve">, including but not limited to </w:t>
      </w:r>
      <w:r w:rsidDel="00000000" w:rsidR="00000000" w:rsidRPr="00000000">
        <w:rPr>
          <w:b w:val="1"/>
          <w:bCs w:val="1"/>
          <w:rtl w:val="0"/>
        </w:rPr>
        <w:t xml:space="preserve">tokenization frameworks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agentic AI architectures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quantum‑aligned systems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hardware‑level interoperability protocols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intent is not adversarial.</w:t>
        <w:br w:type="textWrapping"/>
        <w:t xml:space="preserve"> The intent is </w:t>
      </w:r>
      <w:r w:rsidDel="00000000" w:rsidR="00000000" w:rsidRPr="00000000">
        <w:rPr>
          <w:b w:val="1"/>
          <w:bCs w:val="1"/>
          <w:rtl w:val="0"/>
        </w:rPr>
        <w:t xml:space="preserve">structural alignment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nhmxe1xu3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Governance Status of the SSPS IP Stack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SSPS IP Stack is governed exclusively under the </w:t>
      </w:r>
      <w:r w:rsidDel="00000000" w:rsidR="00000000" w:rsidRPr="00000000">
        <w:rPr>
          <w:b w:val="1"/>
          <w:bCs w:val="1"/>
          <w:rtl w:val="0"/>
        </w:rPr>
        <w:t xml:space="preserve">RBGA (Rules‑Based Governance Architecture)</w:t>
      </w:r>
      <w:r w:rsidDel="00000000" w:rsidR="00000000" w:rsidRPr="00000000">
        <w:rPr>
          <w:rtl w:val="0"/>
        </w:rPr>
        <w:t xml:space="preserve"> framework.</w:t>
        <w:br w:type="textWrapping"/>
        <w:t xml:space="preserve"> This framework establishes: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Sovereign authorship boundaries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Infrastructure‑level governance cutlines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Non‑delegable control over protocol evolution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Explicit separation between advisory input and regulatory authority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external entity — public, private, corporate, academic, or consortium‑based — holds regulatory, supervisory, or normative jurisdiction over SSPS infrastructure unless explicitly granted through RBGA‑compliant agreements.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mrj2i8nzl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Clarification to External Entities Claiming Governance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notice applies to all entities that: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 standards treated as mandatory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“best practices” framed as regulatory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access, certification, or compliance conditions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themselves as de facto authorities over AI, quantum, tokenization, or hardware ecosystems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assert interpretive control over SSPS‑aligned technologies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Such claims </w:t>
      </w:r>
      <w:r w:rsidDel="00000000" w:rsidR="00000000" w:rsidRPr="00000000">
        <w:rPr>
          <w:b w:val="1"/>
          <w:bCs w:val="1"/>
          <w:rtl w:val="0"/>
        </w:rPr>
        <w:t xml:space="preserve">do not supersede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replace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modify</w:t>
      </w:r>
      <w:r w:rsidDel="00000000" w:rsidR="00000000" w:rsidRPr="00000000">
        <w:rPr>
          <w:rtl w:val="0"/>
        </w:rPr>
        <w:t xml:space="preserve"> RBGA governance.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frameworks may be acknowledged as </w:t>
      </w:r>
      <w:r w:rsidDel="00000000" w:rsidR="00000000" w:rsidRPr="00000000">
        <w:rPr>
          <w:b w:val="1"/>
          <w:bCs w:val="1"/>
          <w:rtl w:val="0"/>
        </w:rPr>
        <w:t xml:space="preserve">reference inputs</w:t>
      </w:r>
      <w:r w:rsidDel="00000000" w:rsidR="00000000" w:rsidRPr="00000000">
        <w:rPr>
          <w:rtl w:val="0"/>
        </w:rPr>
        <w:t xml:space="preserve">, but they do not constitute </w:t>
      </w:r>
      <w:r w:rsidDel="00000000" w:rsidR="00000000" w:rsidRPr="00000000">
        <w:rPr>
          <w:b w:val="1"/>
          <w:bCs w:val="1"/>
          <w:rtl w:val="0"/>
        </w:rPr>
        <w:t xml:space="preserve">binding authority</w:t>
      </w:r>
      <w:r w:rsidDel="00000000" w:rsidR="00000000" w:rsidRPr="00000000">
        <w:rPr>
          <w:rtl w:val="0"/>
        </w:rPr>
        <w:t xml:space="preserve"> over SSPS infrastructure.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dfly5oe0f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Interoperability vs. Governance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SSPS IP Stack may interoperate with external systems, standards, or protocols.</w:t>
        <w:br w:type="textWrapping"/>
        <w:t xml:space="preserve"> Interoperability </w:t>
      </w:r>
      <w:r w:rsidDel="00000000" w:rsidR="00000000" w:rsidRPr="00000000">
        <w:rPr>
          <w:b w:val="1"/>
          <w:bCs w:val="1"/>
          <w:rtl w:val="0"/>
        </w:rPr>
        <w:t xml:space="preserve">does not imply governance transfer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RBGA: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Technical compatibility ≠ regulatory subordination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Standards alignment ≠ jurisdictional concession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Advisory participation ≠ authority delegation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governance remains internal, explicit, and non‑derivative.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8czg3d89o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Forward‑Looking Coordination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Entities wishing to collaborate, align, or interface with SSPS infrastructure may do so through: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RBGA‑compliant coordination channels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Explicitly defined interoperability agreements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Non‑binding advisory exchanges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Transparent, artifact‑anchored communication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implicit authority is recognized.</w:t>
        <w:br w:type="textWrapping"/>
        <w:t xml:space="preserve"> No inferred jurisdiction is accepted.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bju7xanl1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Closing Statement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announcement establishes a clear, stable, and future‑proof governance boundary.</w:t>
        <w:br w:type="textWrapping"/>
        <w:t xml:space="preserve"> It ensures that the SSPS IP Stack remains: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sovereign in authorship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in governance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interoperable without subordination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aligned without absorption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structurally immune to narrative or jurisdictional drift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entities are acknowledged.</w:t>
        <w:br w:type="textWrapping"/>
        <w:t xml:space="preserve"> None are deputized.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8x21ur9zl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Disclosure &amp; Non‑Governance Obligation Clause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 external entities must clearly and affirmatively disclose that they do not govern, control, or assert authority over the Southern Star Pro Studios (SSPS) Intellectual Property Stack.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failure to provide this disclosure constitutes: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false designation of authority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misleading representation of governance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act capable of creating confusion regarding ownership or control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violation of established IP boundary norms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Such failure may result in claims for injunctive relief, corrective disclosures, and any other remedies available under applicable intellectual property and unfair‑competition standards.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obligation applies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to representations concerning the SSPS IP stack and does not extend to any external systems, platforms, or infrastructures.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81ftlsdql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Licensing Requirement Statement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Licensing is required for any use, integration, deployment, reproduction, or absorption of the Southern Star Pro Studios (SSPS) Intellectual Property Stack.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entity may utilize, adapt, or derive value from any component of the SSPS IP stack without an explicit, valid license issued by Southern Star Pro Studios.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Unauthorized use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transfer governance rights,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grant permission, and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diminish SSPS’s sovereign control over its IP.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unlicensed use falls under RBGA governance only for the SSPS‑originating components involved, while all external liabilities, actions, and regulatory exposures remain solely with the unauthorized actor.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