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Lifecycle Q 10 Note: I added:  “or any other type of data set” in order to seek out a broader answer.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Before 2025, were there any mentions in public repos, patents, or documentation of a system that treated credentials or tokens as trust-bound, traceable, time-bound logic capsules or any other type of data set (like Mint Units™)?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Answer: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answer: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—nothing before 2025 matches Mint Units™ as “trust‑bound, traceable, time‑bound logic capsules.” What you do see are </w:t>
      </w:r>
      <w:r w:rsidDel="00000000" w:rsidR="00000000" w:rsidRPr="00000000">
        <w:rPr>
          <w:b w:val="1"/>
          <w:bCs w:val="1"/>
          <w:rtl w:val="0"/>
        </w:rPr>
        <w:t xml:space="preserve">partial precursors</w:t>
      </w:r>
      <w:r w:rsidDel="00000000" w:rsidR="00000000" w:rsidRPr="00000000">
        <w:rPr>
          <w:rtl w:val="0"/>
        </w:rPr>
        <w:t xml:space="preserve">, none of which combine all of: intent binding, lifecycle logic, validation thresholds, expiry enforcement, and forensic traceability in a single governed object.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5zcjisrc2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Closest pre‑2025 adjacent concepts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Verifiable credential bundling &amp; composability (NSF / VC ecosystems)</w:t>
        <w:br w:type="textWrapping"/>
      </w:r>
      <w:r w:rsidDel="00000000" w:rsidR="00000000" w:rsidRPr="00000000">
        <w:rPr>
          <w:rtl w:val="0"/>
        </w:rPr>
        <w:t xml:space="preserve"> Work on verifiable credentials and “credential bundling” talks about modular authorization, delegation, nested responsibilities, and </w:t>
      </w:r>
      <w:r w:rsidDel="00000000" w:rsidR="00000000" w:rsidRPr="00000000">
        <w:rPr>
          <w:i w:val="1"/>
          <w:iCs w:val="1"/>
          <w:rtl w:val="0"/>
        </w:rPr>
        <w:t xml:space="preserve">time‑ or clause‑bounded cross‑domain validation</w:t>
      </w:r>
      <w:r w:rsidDel="00000000" w:rsidR="00000000" w:rsidRPr="00000000">
        <w:rPr>
          <w:rtl w:val="0"/>
        </w:rPr>
        <w:t xml:space="preserve">. These are </w:t>
      </w:r>
      <w:r w:rsidDel="00000000" w:rsidR="00000000" w:rsidRPr="00000000">
        <w:rPr>
          <w:b w:val="1"/>
          <w:bCs w:val="1"/>
          <w:rtl w:val="0"/>
        </w:rPr>
        <w:t xml:space="preserve">trust bundles</w:t>
      </w:r>
      <w:r w:rsidDel="00000000" w:rsidR="00000000" w:rsidRPr="00000000">
        <w:rPr>
          <w:rtl w:val="0"/>
        </w:rPr>
        <w:t xml:space="preserve">, not lifecycle capsules: they don’t define a single minted object with embedded logic, thresholds, and enforced expiry that self‑governs its lifecycle.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docs.therisk.global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Timed‑release encryption (i‑TiRE, 2021)</w:t>
        <w:br w:type="textWrapping"/>
      </w:r>
      <w:r w:rsidDel="00000000" w:rsidR="00000000" w:rsidRPr="00000000">
        <w:rPr>
          <w:rtl w:val="0"/>
        </w:rPr>
        <w:t xml:space="preserve"> i‑TiRE defines incremental timed‑release encryption for sealed‑bid auctions and scheduled confidential transactions. It’s about </w:t>
      </w:r>
      <w:r w:rsidDel="00000000" w:rsidR="00000000" w:rsidRPr="00000000">
        <w:rPr>
          <w:b w:val="1"/>
          <w:bCs w:val="1"/>
          <w:rtl w:val="0"/>
        </w:rPr>
        <w:t xml:space="preserve">time‑gated decryption</w:t>
      </w:r>
      <w:r w:rsidDel="00000000" w:rsidR="00000000" w:rsidRPr="00000000">
        <w:rPr>
          <w:rtl w:val="0"/>
        </w:rPr>
        <w:t xml:space="preserve">, not about credentials or tokens as lifecycle objects with validation thresholds and burn/expiry semantics. There is no notion of a “Mint Unit”‑style object that carries its own lifecycle logic.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Cryptology ePrint Archive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Soulbound Tokens (SBTs, 2022 concept)</w:t>
        <w:br w:type="textWrapping"/>
      </w:r>
      <w:r w:rsidDel="00000000" w:rsidR="00000000" w:rsidRPr="00000000">
        <w:rPr>
          <w:rtl w:val="0"/>
        </w:rPr>
        <w:t xml:space="preserve"> SBTs are non‑transferable, identity‑bound tokens used as persistent credentials or attestations. They are </w:t>
      </w:r>
      <w:r w:rsidDel="00000000" w:rsidR="00000000" w:rsidRPr="00000000">
        <w:rPr>
          <w:b w:val="1"/>
          <w:bCs w:val="1"/>
          <w:rtl w:val="0"/>
        </w:rPr>
        <w:t xml:space="preserve">permanent</w:t>
      </w:r>
      <w:r w:rsidDel="00000000" w:rsidR="00000000" w:rsidRPr="00000000">
        <w:rPr>
          <w:rtl w:val="0"/>
        </w:rPr>
        <w:t xml:space="preserve">, not time‑bound; they don’t encode validation thresholds, expiry enforcement, or self‑destruct logic. They are “trust‑bound” in the sense of identity linkage, but not lifecycle‑governed logic capsules.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corporate.moneybrain.com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npsi2w2ur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Post‑cutoff related work (for context only)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Biometric‑bound credentials (Trust Stamp, Feb 2025)</w:t>
        <w:br w:type="textWrapping"/>
      </w:r>
      <w:r w:rsidDel="00000000" w:rsidR="00000000" w:rsidRPr="00000000">
        <w:rPr>
          <w:rtl w:val="0"/>
        </w:rPr>
        <w:t xml:space="preserve"> Biometric‑bound credentials link biometrics to cryptographic secrets, but the focus is on binding and unbinding, not on lifecycle objects with embedded expiry and burn logic.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Biometric 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Dynamic/ephemeral credentials in zero‑trust pipelines (2026)</w:t>
        <w:br w:type="textWrapping"/>
      </w:r>
      <w:r w:rsidDel="00000000" w:rsidR="00000000" w:rsidRPr="00000000">
        <w:rPr>
          <w:rtl w:val="0"/>
        </w:rPr>
        <w:t xml:space="preserve"> Later work on dynamic credentials and JIT access in CI/CD pipelines moves toward ephemeral, time‑bound credentials, but still doesn’t formalize them as self‑governing logic capsules with embedded thresholds and lifecycle rules.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Red Hat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a8ctn6o5a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 conclusion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public repo, patent, or spec before 2025 describes credentials or tokens as “trust‑bound, traceable, time‑bound logic capsules” or anything equivalent to Mint Units™—objects that encapsulate logic, validation thresholds, expiry enforcement, and governed lifecycle behavior.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Pre‑2025 work gives you </w:t>
      </w: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time‑bounds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composability</w:t>
      </w:r>
      <w:r w:rsidDel="00000000" w:rsidR="00000000" w:rsidRPr="00000000">
        <w:rPr>
          <w:rtl w:val="0"/>
        </w:rPr>
        <w:t xml:space="preserve"> in isolation, but never the full Mint Unit™ model.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rporate.moneybrain.com/speakers-corner/2025/02/24/smoke-and-mirrors-out-soulbound-credentials-in/" TargetMode="External"/><Relationship Id="rId10" Type="http://schemas.openxmlformats.org/officeDocument/2006/relationships/hyperlink" Target="https://corporate.moneybrain.com/speakers-corner/2025/02/24/smoke-and-mirrors-out-soulbound-credentials-in/" TargetMode="External"/><Relationship Id="rId13" Type="http://schemas.openxmlformats.org/officeDocument/2006/relationships/hyperlink" Target="https://www.biometricupdate.com/202502/biometric-bound-credentials-take-stage-at-eab-talk-from-trust-stamps-cso" TargetMode="External"/><Relationship Id="rId12" Type="http://schemas.openxmlformats.org/officeDocument/2006/relationships/hyperlink" Target="https://www.biometricupdate.com/202502/biometric-bound-credentials-take-stage-at-eab-talk-from-trust-stamps-cs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print.iacr.org/2021/800.pdf" TargetMode="External"/><Relationship Id="rId15" Type="http://schemas.openxmlformats.org/officeDocument/2006/relationships/hyperlink" Target="https://developers.redhat.com/articles/2026/01/05/zero-trust-security-and-dynamic-credentials-openshift" TargetMode="External"/><Relationship Id="rId14" Type="http://schemas.openxmlformats.org/officeDocument/2006/relationships/hyperlink" Target="https://developers.redhat.com/articles/2026/01/05/zero-trust-security-and-dynamic-credentials-openshif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therisk.global/organization/standardization/nexus-sovereignty/verifiable-credentials/credential-bundling-and-vc-composability" TargetMode="External"/><Relationship Id="rId7" Type="http://schemas.openxmlformats.org/officeDocument/2006/relationships/hyperlink" Target="https://docs.therisk.global/organization/standardization/nexus-sovereignty/verifiable-credentials/credential-bundling-and-vc-composability" TargetMode="External"/><Relationship Id="rId8" Type="http://schemas.openxmlformats.org/officeDocument/2006/relationships/hyperlink" Target="https://eprint.iacr.org/2021/800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