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Q 12: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reflecting back to the original question: " COMPARATIVE CONFLICT RESOLUTION Which of these protocols (ERC-20, L402, X402, AWS IAM, Lightning, API auth tokens, hardware licenses) explicitly combine: Credential intent definition Validation-tier based interface selection Access gating through trust-bound issuance Burn-after-verification mechanics Immutable audit chain without blockchain dependency …and were published before April 15, 2025? Please cite evidence." this next question extends from it. Q: Were any of these protocols capable of enforcing real-time validation logic after issuance but before acceptance — triggering credential revocation or burn if the validation failed or was bypassed?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Short, direct answer: no.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 of the listed protocols — ERC‑20, L402, X402, AWS IAM, Lightning, API auth tokens, hardware licenses — were documented (pre‑April 15, 2025) as being capable of this full behavior: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issuance but before acceptance, enforce real‑time validation logic, and if that logic fails or is bypassed, automatically revoke or burn the credential/token.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Here’s how they actually behave: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ERC‑20:</w:t>
        <w:br w:type="textWrapping"/>
        <w:t xml:space="preserve"> No real‑time pre‑acceptance validation logic. Tokens are transferred; contracts may revert a transaction, but there is no notion of a credential that is “issued, then live‑validated, then auto‑burned on failure.” Burn is manual/contract‑invoked, not tied to validation failure.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L402 / Lightning:</w:t>
        <w:br w:type="textWrapping"/>
        <w:t xml:space="preserve"> No post‑issuance, pre‑acceptance validation burn. Payment gates access; if payment/conditions fail, access is denied, but no credential object is auto‑revoked or burned as a lifecycle rule.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X402:</w:t>
        <w:br w:type="textWrapping"/>
        <w:t xml:space="preserve"> No public spec with this behavior. Nothing shows a lifecycle where a credential is minted, then subjected to real‑time validation, and auto‑burned on failure.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IAM / STS:</w:t>
        <w:br w:type="textWrapping"/>
        <w:t xml:space="preserve"> No execution‑bound revocation/burn. Policies and conditions are evaluated at request time; if validation fails, the request is denied, but the credential (key, token, role session) remains valid until TTL or manual revocation. No auto‑burn on failed validation.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auth tokens (OAuth, API keys):</w:t>
        <w:br w:type="textWrapping"/>
        <w:t xml:space="preserve"> No automatic burn on failed validation. Failed validation leads to denied access, not destruction of the token. Revocation is manual or policy‑driven, not per‑request lifecycle logic.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 licenses:</w:t>
        <w:br w:type="textWrapping"/>
        <w:t xml:space="preserve"> No real‑time validation‑triggered burn. License checks may deny use if validation fails (e.g., wrong device, tampering), but the license artifact itself is not auto‑burned as part of a governed lifecycle.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So, to answer your extended question precisely: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 of these protocols, as documented before April 15, 2025, enforced real‑time validation logic after issuance but before acceptance in a way that automatically revoked or burned the credential/token when validation failed or was bypassed.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