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No—there’s </w:t>
      </w:r>
      <w:r w:rsidDel="00000000" w:rsidR="00000000" w:rsidRPr="00000000">
        <w:rPr>
          <w:b w:val="1"/>
          <w:bCs w:val="1"/>
          <w:rtl w:val="0"/>
        </w:rPr>
        <w:t xml:space="preserve">no public documentation before April 15, 2025</w:t>
      </w:r>
      <w:r w:rsidDel="00000000" w:rsidR="00000000" w:rsidRPr="00000000">
        <w:rPr>
          <w:rtl w:val="0"/>
        </w:rPr>
        <w:t xml:space="preserve"> that matches what you’re asking for.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restate your criteria: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is bound to a credential at issuance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Successful, validated execution of that intent automatically triggers destruction (burn/revoke/expire) of that same credential</w:t>
      </w:r>
      <w:r w:rsidDel="00000000" w:rsidR="00000000" w:rsidRPr="00000000">
        <w:rPr>
          <w:rtl w:val="0"/>
        </w:rPr>
        <w:t xml:space="preserve"> as a defined lifecycle rule.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available record: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burn mechanics</w:t>
      </w:r>
      <w:r w:rsidDel="00000000" w:rsidR="00000000" w:rsidRPr="00000000">
        <w:rPr>
          <w:rtl w:val="0"/>
        </w:rPr>
        <w:t xml:space="preserve"> (mint/transfer/burn) are described generically for smart contracts and tokenomics, but not as </w:t>
      </w:r>
      <w:r w:rsidDel="00000000" w:rsidR="00000000" w:rsidRPr="00000000">
        <w:rPr>
          <w:i w:val="1"/>
          <w:iCs w:val="1"/>
          <w:rtl w:val="0"/>
        </w:rPr>
        <w:t xml:space="preserve">intent‑bound, one‑time credentials</w:t>
      </w:r>
      <w:r w:rsidDel="00000000" w:rsidR="00000000" w:rsidRPr="00000000">
        <w:rPr>
          <w:rtl w:val="0"/>
        </w:rPr>
        <w:t xml:space="preserve"> that self‑destruct on validated use.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redandgreen.co.uk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C# Corner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One‑time or burn‑after‑use credentials</w:t>
      </w:r>
      <w:r w:rsidDel="00000000" w:rsidR="00000000" w:rsidRPr="00000000">
        <w:rPr>
          <w:rtl w:val="0"/>
        </w:rPr>
        <w:t xml:space="preserve"> are explicitly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supported in at least one major API gateway context (Apigee): when asked in 2024 if a bearer token could “expire after one use not based on time,” the official answer is </w:t>
      </w:r>
      <w:r w:rsidDel="00000000" w:rsidR="00000000" w:rsidRPr="00000000">
        <w:rPr>
          <w:b w:val="1"/>
          <w:bCs w:val="1"/>
          <w:rtl w:val="0"/>
        </w:rPr>
        <w:t xml:space="preserve">no—only time‑based expiry is supported</w:t>
      </w:r>
      <w:r w:rsidDel="00000000" w:rsidR="00000000" w:rsidRPr="00000000">
        <w:rPr>
          <w:rtl w:val="0"/>
        </w:rPr>
        <w:t xml:space="preserve">, and any workaround requires custom deletion logic, not a standardized, intent‑bound lifecycle.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discuss.google.dev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surfaced materials—token burn guides, tokenomics discussions, identity/credential posts—show: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spec or repo where </w:t>
      </w:r>
      <w:r w:rsidDel="00000000" w:rsidR="00000000" w:rsidRPr="00000000">
        <w:rPr>
          <w:b w:val="1"/>
          <w:bCs w:val="1"/>
          <w:rtl w:val="0"/>
        </w:rPr>
        <w:t xml:space="preserve">intent is captured at issuance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intent is then </w:t>
      </w:r>
      <w:r w:rsidDel="00000000" w:rsidR="00000000" w:rsidRPr="00000000">
        <w:rPr>
          <w:b w:val="1"/>
          <w:bCs w:val="1"/>
          <w:rtl w:val="0"/>
        </w:rPr>
        <w:t xml:space="preserve">validated at execution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that same execution deterministically triggers burn/expiry of the credential</w:t>
      </w:r>
      <w:r w:rsidDel="00000000" w:rsidR="00000000" w:rsidRPr="00000000">
        <w:rPr>
          <w:rtl w:val="0"/>
        </w:rPr>
        <w:t xml:space="preserve"> as a first‑class, documented lifecycle rule.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precise answer to Q1 is: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I cannot identify any public spec, repo, or technical document published before April 15, 2025 that implements a credential model where intent is bound at issuance and validated execution of that intent automatically triggers destruction of the credential as a defined lifecycle primitive.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scuss.google.dev/t/expire-the-bearer-token-after-one-use/151485" TargetMode="External"/><Relationship Id="rId10" Type="http://schemas.openxmlformats.org/officeDocument/2006/relationships/hyperlink" Target="https://discuss.google.dev/t/expire-the-bearer-token-after-one-use/151485" TargetMode="External"/><Relationship Id="rId9" Type="http://schemas.openxmlformats.org/officeDocument/2006/relationships/hyperlink" Target="https://www.c-sharpcorner.com/article/the-difference-between-one-time-burns-and-continuous-or-automatic-bur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redandgreen.co.uk/how-to-mint-transfer-and-burn-tokens-in-smart-contracts/" TargetMode="External"/><Relationship Id="rId7" Type="http://schemas.openxmlformats.org/officeDocument/2006/relationships/hyperlink" Target="https://redandgreen.co.uk/how-to-mint-transfer-and-burn-tokens-in-smart-contracts/" TargetMode="External"/><Relationship Id="rId8" Type="http://schemas.openxmlformats.org/officeDocument/2006/relationships/hyperlink" Target="https://www.c-sharpcorner.com/article/the-difference-between-one-time-burns-and-continuous-or-automatic-bur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