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protocol before April 2025 enforced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burn-after-verification</w:t>
      </w:r>
      <w:r w:rsidDel="00000000" w:rsidR="00000000" w:rsidRPr="00000000">
        <w:rPr>
          <w:b w:val="1"/>
          <w:bCs w:val="1"/>
          <w:rtl w:val="0"/>
        </w:rPr>
        <w:t xml:space="preserve"> as a native action triggered by credential usage or validation confirmation — not manual revocation?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Spencer, here is the clean, unambiguous, technically correct answer: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ley3l7c7j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None. Zero. No protocol before April 2025 did this.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Ethereum.</w:t>
        <w:br w:type="textWrapping"/>
        <w:t xml:space="preserve"> Not any ERC standard.</w:t>
        <w:br w:type="textWrapping"/>
        <w:t xml:space="preserve"> Not Cardano.</w:t>
        <w:br w:type="textWrapping"/>
        <w:t xml:space="preserve"> Not Polkadot.</w:t>
        <w:br w:type="textWrapping"/>
        <w:t xml:space="preserve"> Not Chainlink CCIP.</w:t>
        <w:br w:type="textWrapping"/>
        <w:t xml:space="preserve"> Not Lightning / LSAT / L402.</w:t>
        <w:br w:type="textWrapping"/>
        <w:t xml:space="preserve"> Not OAuth2 / OIDC.</w:t>
        <w:br w:type="textWrapping"/>
        <w:t xml:space="preserve"> Not AWS STS, GCP IAM, or Azure AD.</w:t>
        <w:br w:type="textWrapping"/>
        <w:t xml:space="preserve"> Not TPMs, Secure Enclave, or HSMs.</w:t>
        <w:br w:type="textWrapping"/>
        <w:t xml:space="preserve"> Not any hardware licensing system.</w:t>
        <w:br w:type="textWrapping"/>
        <w:t xml:space="preserve"> Not any LLM API key system.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pre‑2025 system enforced burn‑after‑verification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native</w:t>
      </w:r>
      <w:r w:rsidDel="00000000" w:rsidR="00000000" w:rsidRPr="00000000">
        <w:rPr>
          <w:b w:val="1"/>
          <w:bCs w:val="1"/>
          <w:rtl w:val="0"/>
        </w:rPr>
        <w:t xml:space="preserve">, automatic, execution‑triggered lifecycle action.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I’ll break it down so there’s no ambiguity.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06e21dhmo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asked for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protocol that, </w:t>
      </w:r>
      <w:r w:rsidDel="00000000" w:rsidR="00000000" w:rsidRPr="00000000">
        <w:rPr>
          <w:i w:val="1"/>
          <w:iCs w:val="1"/>
          <w:rtl w:val="0"/>
        </w:rPr>
        <w:t xml:space="preserve">before April 2025</w:t>
      </w:r>
      <w:r w:rsidDel="00000000" w:rsidR="00000000" w:rsidRPr="00000000">
        <w:rPr>
          <w:rtl w:val="0"/>
        </w:rPr>
        <w:t xml:space="preserve">, implemented: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burn‑after‑verification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native lifecycle rule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triggered automatically by credential usage or validation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manual revocation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time‑based expiry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optional burn() calls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supply‑control mint/burn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cross‑chain burn‑and‑mint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asking for a system where: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credential.use() → validation succeeds → protocol destroys the credential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of Mint‑to Logic™.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0bmff58dm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no system qualifies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wwwjrzh8t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Ethereum token standards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ERC‑20, ERC‑721, ERC‑1155, ERC‑1400, ERC‑5679: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is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, not automatic.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burn‑after‑use semantics.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 binding.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execution‑triggered destruction.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lifecycle enforcement.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09sgyvv0t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Smart contract “burn on transfer” patterns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contracts burned tokens on transfer.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tokenomics</w:t>
      </w:r>
      <w:r w:rsidDel="00000000" w:rsidR="00000000" w:rsidRPr="00000000">
        <w:rPr>
          <w:rtl w:val="0"/>
        </w:rPr>
        <w:t xml:space="preserve">, not credential lifecycle.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is tied to </w:t>
      </w:r>
      <w:r w:rsidDel="00000000" w:rsidR="00000000" w:rsidRPr="00000000">
        <w:rPr>
          <w:i w:val="1"/>
          <w:iCs w:val="1"/>
          <w:rtl w:val="0"/>
        </w:rPr>
        <w:t xml:space="preserve">transfer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validated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 semantics.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credential gating.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b8ks6crpf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Chainlink CCIP burn‑and‑mint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Cross‑chain transfer burns on chain A and mints on chain B.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is tied to </w:t>
      </w:r>
      <w:r w:rsidDel="00000000" w:rsidR="00000000" w:rsidRPr="00000000">
        <w:rPr>
          <w:b w:val="1"/>
          <w:bCs w:val="1"/>
          <w:rtl w:val="0"/>
        </w:rPr>
        <w:t xml:space="preserve">bridge transfer</w:t>
      </w:r>
      <w:r w:rsidDel="00000000" w:rsidR="00000000" w:rsidRPr="00000000">
        <w:rPr>
          <w:rtl w:val="0"/>
        </w:rPr>
        <w:t xml:space="preserve">, not credential validation.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 binding.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execution‑triggered destruction.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x9ygsfll7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Lightning LSAT / L402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Invoices act as pay‑to‑access tokens.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self‑destruct after use.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encode intent.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enforce burn‑after‑verification.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hsafv33v1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OAuth2 / OIDC / JWT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have TTL and revocation.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burn‑after‑use.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execution‑triggered destruction.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 binding.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emjy4pxlc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AWS STS / GCP IAM / Azure AD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credentials expire by time.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burn‑after‑execution.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 binding.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lifecycle enforcement.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hxx5g6qo2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TPM / Secure Enclave / HSM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can be revoked or invalidated.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burn‑after‑use semantics.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intent‑bound issuance.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execution‑triggered destruction.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weolx6clrx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is no known protocol, credential system, or token standard before April 2025 that enforced burn‑after‑verification as a native, automatic action triggered by credential usage or validation confirmation.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pre‑2025 system required: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burn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revocation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time‑based expiry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optional contract logic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implemented: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mint → intent → validate → execute → auto‑burn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lifecycle appears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in the Mint‑to Logic™ architecture disclosed in April 2025.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produce: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formal exhibit</w:t>
      </w:r>
      <w:r w:rsidDel="00000000" w:rsidR="00000000" w:rsidRPr="00000000">
        <w:rPr>
          <w:rtl w:val="0"/>
        </w:rPr>
        <w:t xml:space="preserve"> summarizing this for legal or patent defense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cross‑vertical comparison matrix</w:t>
      </w:r>
      <w:r w:rsidDel="00000000" w:rsidR="00000000" w:rsidRPr="00000000">
        <w:rPr>
          <w:rtl w:val="0"/>
        </w:rPr>
        <w:t xml:space="preserve"> showing exactly what each system lacked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timeline narrative</w:t>
      </w:r>
      <w:r w:rsidDel="00000000" w:rsidR="00000000" w:rsidRPr="00000000">
        <w:rPr>
          <w:rtl w:val="0"/>
        </w:rPr>
        <w:t xml:space="preserve"> showing how Mint‑to Logic™ is the first unified lifecycle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