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Lifecycle Q 11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gtulmx8rpqm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🧬 COMPARATIVE CONFLICT RESOLUTION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of these protocols (ERC-20, L402, X402, AWS IAM, Lightning, API auth tokens, hardware licenses) explicitly combine: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intent definition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Validation-tier based interface selection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gating through trust-bound issuance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Burn-after-verification mechanics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audit chain without blockchain dependency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…and were published before April 15, 2025? Please cite evidence.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Follow up question: Who does now?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 of them do—and we can say that flatly.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3.6466165413533"/>
        <w:gridCol w:w="1178.796992481203"/>
        <w:gridCol w:w="1205.187969924812"/>
        <w:gridCol w:w="1231.578947368421"/>
        <w:gridCol w:w="1614.248120300752"/>
        <w:gridCol w:w="1416.3157894736842"/>
        <w:gridCol w:w="1680.2255639097746"/>
        <w:tblGridChange w:id="0">
          <w:tblGrid>
            <w:gridCol w:w="1033.6466165413533"/>
            <w:gridCol w:w="1178.796992481203"/>
            <w:gridCol w:w="1205.187969924812"/>
            <w:gridCol w:w="1231.578947368421"/>
            <w:gridCol w:w="1614.248120300752"/>
            <w:gridCol w:w="1416.3157894736842"/>
            <w:gridCol w:w="1680.2255639097746"/>
          </w:tblGrid>
        </w:tblGridChange>
      </w:tblGrid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Protocol /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Intent-bound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Validation-tier interface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Trust-bound issuance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Burn-after-verification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Immutable, non-blockchain audit 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Pre‑Apr 15 2025 source shows combo?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ERC‑20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Optional manual burn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hyperlink r:id="rId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OpenZeppelin Docs</w:t>
              </w:r>
            </w:hyperlink>
            <w:hyperlink r:id="rId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callisto.network</w:t>
              </w:r>
            </w:hyperlink>
            <w:hyperlink r:id="rId1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theethereum.wiki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L402 / Lightning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Partial (pay-to-access)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X402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No public spec with all of these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AWS IAM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Partial (policy-based)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Yes (policy/role based)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No (TTL/revocation only)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Cloud logs, not lifecycle-tied 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hyperlink r:id="rId1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AWS Documentation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API auth 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Maybe logs, but not object-governed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Hardware licenses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Partial (device/host bound)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Vendor logs/telemetry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Evidence: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ERC‑20</w:t>
      </w:r>
      <w:r w:rsidDel="00000000" w:rsidR="00000000" w:rsidRPr="00000000">
        <w:rPr>
          <w:rtl w:val="0"/>
        </w:rPr>
        <w:t xml:space="preserve"> defines fungible token interfaces (balance, transfer, approve, allowance) and optional burn extensions; it does not define intent binding, validation tiers, trust-bound issuance, or burn-after-verification as a lifecycle rule.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OpenZeppelin Docs</w:t>
        </w:r>
      </w:hyperlink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callisto.network</w:t>
        </w:r>
      </w:hyperlink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theethereum.wiki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IAM</w:t>
      </w:r>
      <w:r w:rsidDel="00000000" w:rsidR="00000000" w:rsidRPr="00000000">
        <w:rPr>
          <w:rtl w:val="0"/>
        </w:rPr>
        <w:t xml:space="preserve"> and related serverless IAM guidance describe multiple authorization mechanisms (IAM auth, Cognito, Lambda authorizers, mTLS, resource policies) and policy-based access control, but nothing about intent-bound credentials, burn-after-verification, or a lifecycle object with its own immutable audit chain independent of the provider’s logging substrate.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AWS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documentation, spec, or repo before April 15, 2025 shows </w:t>
      </w:r>
      <w:r w:rsidDel="00000000" w:rsidR="00000000" w:rsidRPr="00000000">
        <w:rPr>
          <w:b w:val="1"/>
          <w:bCs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 of these protocols explicitly combining: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 intent definition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Validation-tier based interface selection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gating through trust-bound issuance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Burn-after-verification mechanics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Immutable audit chain without blockchain dependency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single, named lifecycle model.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So the direct answer: </w:t>
      </w:r>
      <w:r w:rsidDel="00000000" w:rsidR="00000000" w:rsidRPr="00000000">
        <w:rPr>
          <w:b w:val="1"/>
          <w:bCs w:val="1"/>
          <w:rtl w:val="0"/>
        </w:rPr>
        <w:t xml:space="preserve">none of ERC‑20, L402, X402, AWS IAM, Lightning, API auth tokens, or hardware licenses—published before April 15, 2025—explicitly combine all of those properties in one protocol.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 fixed the chart as it is hard to copy it from the thread: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Credential Lifecycle Comparison – Pre‑April 15, 2025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Evaluating key governance functions: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Intent-bound credential issuance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Validation-tier interface selection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Trust-bound issuance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Burn-after-verification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Immutable, non-blockchain audit trail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Verifiable combination of these functions in public sources before April 15, 2025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ERC‑20 (Ethereum Token Standard)</w:t>
        <w:br w:type="textWrapping"/>
      </w:r>
      <w:r w:rsidDel="00000000" w:rsidR="00000000" w:rsidRPr="00000000">
        <w:rPr>
          <w:rtl w:val="0"/>
        </w:rPr>
        <w:t xml:space="preserve"> • Intent-bound credentials: </w:t>
      </w:r>
      <w:r w:rsidDel="00000000" w:rsidR="00000000" w:rsidRPr="00000000">
        <w:rPr>
          <w:b w:val="1"/>
          <w:bCs w:val="1"/>
          <w:rtl w:val="0"/>
        </w:rPr>
        <w:t xml:space="preserve">No</w:t>
        <w:br w:type="textWrapping"/>
      </w:r>
      <w:r w:rsidDel="00000000" w:rsidR="00000000" w:rsidRPr="00000000">
        <w:rPr>
          <w:rtl w:val="0"/>
        </w:rPr>
        <w:t xml:space="preserve"> • Validation-tier interface selection: </w:t>
      </w:r>
      <w:r w:rsidDel="00000000" w:rsidR="00000000" w:rsidRPr="00000000">
        <w:rPr>
          <w:b w:val="1"/>
          <w:bCs w:val="1"/>
          <w:rtl w:val="0"/>
        </w:rPr>
        <w:t xml:space="preserve">No</w:t>
        <w:br w:type="textWrapping"/>
      </w:r>
      <w:r w:rsidDel="00000000" w:rsidR="00000000" w:rsidRPr="00000000">
        <w:rPr>
          <w:rtl w:val="0"/>
        </w:rPr>
        <w:t xml:space="preserve"> • Trust-bound issuance: </w:t>
      </w:r>
      <w:r w:rsidDel="00000000" w:rsidR="00000000" w:rsidRPr="00000000">
        <w:rPr>
          <w:b w:val="1"/>
          <w:bCs w:val="1"/>
          <w:rtl w:val="0"/>
        </w:rPr>
        <w:t xml:space="preserve">No</w:t>
        <w:br w:type="textWrapping"/>
      </w:r>
      <w:r w:rsidDel="00000000" w:rsidR="00000000" w:rsidRPr="00000000">
        <w:rPr>
          <w:rtl w:val="0"/>
        </w:rPr>
        <w:t xml:space="preserve"> • Burn-after-verification: </w:t>
      </w:r>
      <w:r w:rsidDel="00000000" w:rsidR="00000000" w:rsidRPr="00000000">
        <w:rPr>
          <w:b w:val="1"/>
          <w:bCs w:val="1"/>
          <w:rtl w:val="0"/>
        </w:rPr>
        <w:t xml:space="preserve">Optional manual burn only</w:t>
        <w:br w:type="textWrapping"/>
      </w:r>
      <w:r w:rsidDel="00000000" w:rsidR="00000000" w:rsidRPr="00000000">
        <w:rPr>
          <w:rtl w:val="0"/>
        </w:rPr>
        <w:t xml:space="preserve"> • Immutable audit chain: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(relies on blockchain, but not credential lifecycle)</w:t>
        <w:br w:type="textWrapping"/>
        <w:t xml:space="preserve"> • Pre-2025 source with all combined: </w:t>
      </w:r>
      <w:r w:rsidDel="00000000" w:rsidR="00000000" w:rsidRPr="00000000">
        <w:rPr>
          <w:b w:val="1"/>
          <w:bCs w:val="1"/>
          <w:rtl w:val="0"/>
        </w:rPr>
        <w:t xml:space="preserve">No</w:t>
        <w:br w:type="textWrapping"/>
      </w:r>
      <w:r w:rsidDel="00000000" w:rsidR="00000000" w:rsidRPr="00000000">
        <w:rPr>
          <w:rtl w:val="0"/>
        </w:rPr>
        <w:t xml:space="preserve"> • Sources: OpenZeppelin Docs, callisto.network, theethereum.wiki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L402 / Lightning Authentication (LSAT)</w:t>
        <w:br w:type="textWrapping"/>
      </w:r>
      <w:r w:rsidDel="00000000" w:rsidR="00000000" w:rsidRPr="00000000">
        <w:rPr>
          <w:rtl w:val="0"/>
        </w:rPr>
        <w:t xml:space="preserve"> • Intent-bound credentials: </w:t>
      </w:r>
      <w:r w:rsidDel="00000000" w:rsidR="00000000" w:rsidRPr="00000000">
        <w:rPr>
          <w:b w:val="1"/>
          <w:bCs w:val="1"/>
          <w:rtl w:val="0"/>
        </w:rPr>
        <w:t xml:space="preserve">No</w:t>
        <w:br w:type="textWrapping"/>
      </w:r>
      <w:r w:rsidDel="00000000" w:rsidR="00000000" w:rsidRPr="00000000">
        <w:rPr>
          <w:rtl w:val="0"/>
        </w:rPr>
        <w:t xml:space="preserve"> • Validation-tier interface selection: </w:t>
      </w:r>
      <w:r w:rsidDel="00000000" w:rsidR="00000000" w:rsidRPr="00000000">
        <w:rPr>
          <w:b w:val="1"/>
          <w:bCs w:val="1"/>
          <w:rtl w:val="0"/>
        </w:rPr>
        <w:t xml:space="preserve">No</w:t>
        <w:br w:type="textWrapping"/>
      </w:r>
      <w:r w:rsidDel="00000000" w:rsidR="00000000" w:rsidRPr="00000000">
        <w:rPr>
          <w:rtl w:val="0"/>
        </w:rPr>
        <w:t xml:space="preserve"> • Trust-bound issuance: </w:t>
      </w:r>
      <w:r w:rsidDel="00000000" w:rsidR="00000000" w:rsidRPr="00000000">
        <w:rPr>
          <w:b w:val="1"/>
          <w:bCs w:val="1"/>
          <w:rtl w:val="0"/>
        </w:rPr>
        <w:t xml:space="preserve">Partial</w:t>
      </w:r>
      <w:r w:rsidDel="00000000" w:rsidR="00000000" w:rsidRPr="00000000">
        <w:rPr>
          <w:rtl w:val="0"/>
        </w:rPr>
        <w:t xml:space="preserve"> (pay-to-access model, not lifecycle-governed)</w:t>
        <w:br w:type="textWrapping"/>
        <w:t xml:space="preserve"> • Burn-after-verification: </w:t>
      </w:r>
      <w:r w:rsidDel="00000000" w:rsidR="00000000" w:rsidRPr="00000000">
        <w:rPr>
          <w:b w:val="1"/>
          <w:bCs w:val="1"/>
          <w:rtl w:val="0"/>
        </w:rPr>
        <w:t xml:space="preserve">No</w:t>
        <w:br w:type="textWrapping"/>
      </w:r>
      <w:r w:rsidDel="00000000" w:rsidR="00000000" w:rsidRPr="00000000">
        <w:rPr>
          <w:rtl w:val="0"/>
        </w:rPr>
        <w:t xml:space="preserve"> • Immutable audit chain: </w:t>
      </w:r>
      <w:r w:rsidDel="00000000" w:rsidR="00000000" w:rsidRPr="00000000">
        <w:rPr>
          <w:b w:val="1"/>
          <w:bCs w:val="1"/>
          <w:rtl w:val="0"/>
        </w:rPr>
        <w:t xml:space="preserve">No</w:t>
        <w:br w:type="textWrapping"/>
      </w:r>
      <w:r w:rsidDel="00000000" w:rsidR="00000000" w:rsidRPr="00000000">
        <w:rPr>
          <w:rtl w:val="0"/>
        </w:rPr>
        <w:t xml:space="preserve"> • Pre-2025 source with all combined: </w:t>
      </w:r>
      <w:r w:rsidDel="00000000" w:rsidR="00000000" w:rsidRPr="00000000">
        <w:rPr>
          <w:b w:val="1"/>
          <w:bCs w:val="1"/>
          <w:rtl w:val="0"/>
        </w:rPr>
        <w:t xml:space="preserve">No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X402 (HTTP-402-based Credential Protocol)</w:t>
        <w:br w:type="textWrapping"/>
      </w:r>
      <w:r w:rsidDel="00000000" w:rsidR="00000000" w:rsidRPr="00000000">
        <w:rPr>
          <w:rtl w:val="0"/>
        </w:rPr>
        <w:t xml:space="preserve"> • Intent-bound credentials: </w:t>
      </w:r>
      <w:r w:rsidDel="00000000" w:rsidR="00000000" w:rsidRPr="00000000">
        <w:rPr>
          <w:b w:val="1"/>
          <w:bCs w:val="1"/>
          <w:rtl w:val="0"/>
        </w:rPr>
        <w:t xml:space="preserve">No public spec with all of these</w:t>
        <w:br w:type="textWrapping"/>
      </w:r>
      <w:r w:rsidDel="00000000" w:rsidR="00000000" w:rsidRPr="00000000">
        <w:rPr>
          <w:rtl w:val="0"/>
        </w:rPr>
        <w:t xml:space="preserve"> • Validation-tier interface selection: </w:t>
      </w:r>
      <w:r w:rsidDel="00000000" w:rsidR="00000000" w:rsidRPr="00000000">
        <w:rPr>
          <w:b w:val="1"/>
          <w:bCs w:val="1"/>
          <w:rtl w:val="0"/>
        </w:rPr>
        <w:t xml:space="preserve">–</w:t>
        <w:br w:type="textWrapping"/>
      </w:r>
      <w:r w:rsidDel="00000000" w:rsidR="00000000" w:rsidRPr="00000000">
        <w:rPr>
          <w:rtl w:val="0"/>
        </w:rPr>
        <w:t xml:space="preserve"> • Trust-bound issuance: </w:t>
      </w:r>
      <w:r w:rsidDel="00000000" w:rsidR="00000000" w:rsidRPr="00000000">
        <w:rPr>
          <w:b w:val="1"/>
          <w:bCs w:val="1"/>
          <w:rtl w:val="0"/>
        </w:rPr>
        <w:t xml:space="preserve">–</w:t>
        <w:br w:type="textWrapping"/>
      </w:r>
      <w:r w:rsidDel="00000000" w:rsidR="00000000" w:rsidRPr="00000000">
        <w:rPr>
          <w:rtl w:val="0"/>
        </w:rPr>
        <w:t xml:space="preserve"> • Burn-after-verification: </w:t>
      </w:r>
      <w:r w:rsidDel="00000000" w:rsidR="00000000" w:rsidRPr="00000000">
        <w:rPr>
          <w:b w:val="1"/>
          <w:bCs w:val="1"/>
          <w:rtl w:val="0"/>
        </w:rPr>
        <w:t xml:space="preserve">–</w:t>
        <w:br w:type="textWrapping"/>
      </w:r>
      <w:r w:rsidDel="00000000" w:rsidR="00000000" w:rsidRPr="00000000">
        <w:rPr>
          <w:rtl w:val="0"/>
        </w:rPr>
        <w:t xml:space="preserve"> • Immutable audit chain: </w:t>
      </w:r>
      <w:r w:rsidDel="00000000" w:rsidR="00000000" w:rsidRPr="00000000">
        <w:rPr>
          <w:b w:val="1"/>
          <w:bCs w:val="1"/>
          <w:rtl w:val="0"/>
        </w:rPr>
        <w:t xml:space="preserve">–</w:t>
        <w:br w:type="textWrapping"/>
      </w:r>
      <w:r w:rsidDel="00000000" w:rsidR="00000000" w:rsidRPr="00000000">
        <w:rPr>
          <w:rtl w:val="0"/>
        </w:rPr>
        <w:t xml:space="preserve"> • Pre-2025 source with all combined: </w:t>
      </w:r>
      <w:r w:rsidDel="00000000" w:rsidR="00000000" w:rsidRPr="00000000">
        <w:rPr>
          <w:b w:val="1"/>
          <w:bCs w:val="1"/>
          <w:rtl w:val="0"/>
        </w:rPr>
        <w:t xml:space="preserve">No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AWS IAM / STS (Temporary Credentials)</w:t>
        <w:br w:type="textWrapping"/>
      </w:r>
      <w:r w:rsidDel="00000000" w:rsidR="00000000" w:rsidRPr="00000000">
        <w:rPr>
          <w:rtl w:val="0"/>
        </w:rPr>
        <w:t xml:space="preserve"> • Intent-bound credentials: </w:t>
      </w:r>
      <w:r w:rsidDel="00000000" w:rsidR="00000000" w:rsidRPr="00000000">
        <w:rPr>
          <w:b w:val="1"/>
          <w:bCs w:val="1"/>
          <w:rtl w:val="0"/>
        </w:rPr>
        <w:t xml:space="preserve">No</w:t>
        <w:br w:type="textWrapping"/>
      </w:r>
      <w:r w:rsidDel="00000000" w:rsidR="00000000" w:rsidRPr="00000000">
        <w:rPr>
          <w:rtl w:val="0"/>
        </w:rPr>
        <w:t xml:space="preserve"> • Validation-tier interface selection: </w:t>
      </w:r>
      <w:r w:rsidDel="00000000" w:rsidR="00000000" w:rsidRPr="00000000">
        <w:rPr>
          <w:b w:val="1"/>
          <w:bCs w:val="1"/>
          <w:rtl w:val="0"/>
        </w:rPr>
        <w:t xml:space="preserve">Partial</w:t>
      </w:r>
      <w:r w:rsidDel="00000000" w:rsidR="00000000" w:rsidRPr="00000000">
        <w:rPr>
          <w:rtl w:val="0"/>
        </w:rPr>
        <w:t xml:space="preserve"> (policy-based role separation)</w:t>
        <w:br w:type="textWrapping"/>
        <w:t xml:space="preserve"> • Trust-bound issuance: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 (roles + org policies)</w:t>
        <w:br w:type="textWrapping"/>
        <w:t xml:space="preserve"> • Burn-after-verification: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(uses TTL/revocation, not execution-bound)</w:t>
        <w:br w:type="textWrapping"/>
        <w:t xml:space="preserve"> • Immutable audit chain: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(logs exist, but not object-bound or lifecycle-linked)</w:t>
        <w:br w:type="textWrapping"/>
        <w:t xml:space="preserve"> • Pre-2025 source with all combined: </w:t>
      </w:r>
      <w:r w:rsidDel="00000000" w:rsidR="00000000" w:rsidRPr="00000000">
        <w:rPr>
          <w:b w:val="1"/>
          <w:bCs w:val="1"/>
          <w:rtl w:val="0"/>
        </w:rPr>
        <w:t xml:space="preserve">No</w:t>
        <w:br w:type="textWrapping"/>
      </w:r>
      <w:r w:rsidDel="00000000" w:rsidR="00000000" w:rsidRPr="00000000">
        <w:rPr>
          <w:rtl w:val="0"/>
        </w:rPr>
        <w:t xml:space="preserve"> • Sources: AWS IAM Docs, STS Credential Docs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API Auth Tokens (OAuth, API Key Systems)</w:t>
        <w:br w:type="textWrapping"/>
      </w:r>
      <w:r w:rsidDel="00000000" w:rsidR="00000000" w:rsidRPr="00000000">
        <w:rPr>
          <w:rtl w:val="0"/>
        </w:rPr>
        <w:t xml:space="preserve"> • Intent-bound credentials: </w:t>
      </w:r>
      <w:r w:rsidDel="00000000" w:rsidR="00000000" w:rsidRPr="00000000">
        <w:rPr>
          <w:b w:val="1"/>
          <w:bCs w:val="1"/>
          <w:rtl w:val="0"/>
        </w:rPr>
        <w:t xml:space="preserve">No</w:t>
        <w:br w:type="textWrapping"/>
      </w:r>
      <w:r w:rsidDel="00000000" w:rsidR="00000000" w:rsidRPr="00000000">
        <w:rPr>
          <w:rtl w:val="0"/>
        </w:rPr>
        <w:t xml:space="preserve"> • Validation-tier interface selection: </w:t>
      </w:r>
      <w:r w:rsidDel="00000000" w:rsidR="00000000" w:rsidRPr="00000000">
        <w:rPr>
          <w:b w:val="1"/>
          <w:bCs w:val="1"/>
          <w:rtl w:val="0"/>
        </w:rPr>
        <w:t xml:space="preserve">No</w:t>
        <w:br w:type="textWrapping"/>
      </w:r>
      <w:r w:rsidDel="00000000" w:rsidR="00000000" w:rsidRPr="00000000">
        <w:rPr>
          <w:rtl w:val="0"/>
        </w:rPr>
        <w:t xml:space="preserve"> • Trust-bound issuance: </w:t>
      </w:r>
      <w:r w:rsidDel="00000000" w:rsidR="00000000" w:rsidRPr="00000000">
        <w:rPr>
          <w:b w:val="1"/>
          <w:bCs w:val="1"/>
          <w:rtl w:val="0"/>
        </w:rPr>
        <w:t xml:space="preserve">No</w:t>
        <w:br w:type="textWrapping"/>
      </w:r>
      <w:r w:rsidDel="00000000" w:rsidR="00000000" w:rsidRPr="00000000">
        <w:rPr>
          <w:rtl w:val="0"/>
        </w:rPr>
        <w:t xml:space="preserve"> • Burn-after-verification: </w:t>
      </w:r>
      <w:r w:rsidDel="00000000" w:rsidR="00000000" w:rsidRPr="00000000">
        <w:rPr>
          <w:b w:val="1"/>
          <w:bCs w:val="1"/>
          <w:rtl w:val="0"/>
        </w:rPr>
        <w:t xml:space="preserve">No</w:t>
        <w:br w:type="textWrapping"/>
      </w:r>
      <w:r w:rsidDel="00000000" w:rsidR="00000000" w:rsidRPr="00000000">
        <w:rPr>
          <w:rtl w:val="0"/>
        </w:rPr>
        <w:t xml:space="preserve"> • Immutable audit chain: </w:t>
      </w:r>
      <w:r w:rsidDel="00000000" w:rsidR="00000000" w:rsidRPr="00000000">
        <w:rPr>
          <w:b w:val="1"/>
          <w:bCs w:val="1"/>
          <w:rtl w:val="0"/>
        </w:rPr>
        <w:t xml:space="preserve">Maybe logs</w:t>
      </w:r>
      <w:r w:rsidDel="00000000" w:rsidR="00000000" w:rsidRPr="00000000">
        <w:rPr>
          <w:rtl w:val="0"/>
        </w:rPr>
        <w:t xml:space="preserve">, but </w:t>
      </w:r>
      <w:r w:rsidDel="00000000" w:rsidR="00000000" w:rsidRPr="00000000">
        <w:rPr>
          <w:b w:val="1"/>
          <w:bCs w:val="1"/>
          <w:rtl w:val="0"/>
        </w:rPr>
        <w:t xml:space="preserve">not lifecycle-governed</w:t>
        <w:br w:type="textWrapping"/>
      </w:r>
      <w:r w:rsidDel="00000000" w:rsidR="00000000" w:rsidRPr="00000000">
        <w:rPr>
          <w:rtl w:val="0"/>
        </w:rPr>
        <w:t xml:space="preserve"> • Pre-2025 source with all combined: </w:t>
      </w:r>
      <w:r w:rsidDel="00000000" w:rsidR="00000000" w:rsidRPr="00000000">
        <w:rPr>
          <w:b w:val="1"/>
          <w:bCs w:val="1"/>
          <w:rtl w:val="0"/>
        </w:rPr>
        <w:t xml:space="preserve">No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Hardware Licenses (NVIDIA, Apple, Enterprise Chips)</w:t>
        <w:br w:type="textWrapping"/>
      </w:r>
      <w:r w:rsidDel="00000000" w:rsidR="00000000" w:rsidRPr="00000000">
        <w:rPr>
          <w:rtl w:val="0"/>
        </w:rPr>
        <w:t xml:space="preserve"> • Intent-bound credentials: </w:t>
      </w:r>
      <w:r w:rsidDel="00000000" w:rsidR="00000000" w:rsidRPr="00000000">
        <w:rPr>
          <w:b w:val="1"/>
          <w:bCs w:val="1"/>
          <w:rtl w:val="0"/>
        </w:rPr>
        <w:t xml:space="preserve">No</w:t>
        <w:br w:type="textWrapping"/>
      </w:r>
      <w:r w:rsidDel="00000000" w:rsidR="00000000" w:rsidRPr="00000000">
        <w:rPr>
          <w:rtl w:val="0"/>
        </w:rPr>
        <w:t xml:space="preserve"> • Validation-tier interface selection: </w:t>
      </w:r>
      <w:r w:rsidDel="00000000" w:rsidR="00000000" w:rsidRPr="00000000">
        <w:rPr>
          <w:b w:val="1"/>
          <w:bCs w:val="1"/>
          <w:rtl w:val="0"/>
        </w:rPr>
        <w:t xml:space="preserve">No</w:t>
        <w:br w:type="textWrapping"/>
      </w:r>
      <w:r w:rsidDel="00000000" w:rsidR="00000000" w:rsidRPr="00000000">
        <w:rPr>
          <w:rtl w:val="0"/>
        </w:rPr>
        <w:t xml:space="preserve"> • Trust-bound issuance: </w:t>
      </w:r>
      <w:r w:rsidDel="00000000" w:rsidR="00000000" w:rsidRPr="00000000">
        <w:rPr>
          <w:b w:val="1"/>
          <w:bCs w:val="1"/>
          <w:rtl w:val="0"/>
        </w:rPr>
        <w:t xml:space="preserve">Partial</w:t>
      </w:r>
      <w:r w:rsidDel="00000000" w:rsidR="00000000" w:rsidRPr="00000000">
        <w:rPr>
          <w:rtl w:val="0"/>
        </w:rPr>
        <w:t xml:space="preserve"> (device/host binding)</w:t>
        <w:br w:type="textWrapping"/>
        <w:t xml:space="preserve"> • Burn-after-verification: </w:t>
      </w:r>
      <w:r w:rsidDel="00000000" w:rsidR="00000000" w:rsidRPr="00000000">
        <w:rPr>
          <w:b w:val="1"/>
          <w:bCs w:val="1"/>
          <w:rtl w:val="0"/>
        </w:rPr>
        <w:t xml:space="preserve">No</w:t>
        <w:br w:type="textWrapping"/>
      </w:r>
      <w:r w:rsidDel="00000000" w:rsidR="00000000" w:rsidRPr="00000000">
        <w:rPr>
          <w:rtl w:val="0"/>
        </w:rPr>
        <w:t xml:space="preserve"> • Immutable audit chain: </w:t>
      </w:r>
      <w:r w:rsidDel="00000000" w:rsidR="00000000" w:rsidRPr="00000000">
        <w:rPr>
          <w:b w:val="1"/>
          <w:bCs w:val="1"/>
          <w:rtl w:val="0"/>
        </w:rPr>
        <w:t xml:space="preserve">Vendor telemetry only</w:t>
      </w:r>
      <w:r w:rsidDel="00000000" w:rsidR="00000000" w:rsidRPr="00000000">
        <w:rPr>
          <w:rtl w:val="0"/>
        </w:rPr>
        <w:t xml:space="preserve">, not object-bound or user-facing</w:t>
        <w:br w:type="textWrapping"/>
        <w:t xml:space="preserve"> • Pre-2025 source with all combined: </w:t>
      </w:r>
      <w:r w:rsidDel="00000000" w:rsidR="00000000" w:rsidRPr="00000000">
        <w:rPr>
          <w:b w:val="1"/>
          <w:bCs w:val="1"/>
          <w:rtl w:val="0"/>
        </w:rPr>
        <w:t xml:space="preserve">No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aws.amazon.com/wellarchitected/latest/serverless-applications-lens/identity-and-access-management.html" TargetMode="External"/><Relationship Id="rId11" Type="http://schemas.openxmlformats.org/officeDocument/2006/relationships/hyperlink" Target="https://theethereum.wiki/learn/erc20-token-standard/" TargetMode="External"/><Relationship Id="rId10" Type="http://schemas.openxmlformats.org/officeDocument/2006/relationships/hyperlink" Target="https://theethereum.wiki/learn/erc20-token-standard/" TargetMode="External"/><Relationship Id="rId21" Type="http://schemas.openxmlformats.org/officeDocument/2006/relationships/hyperlink" Target="https://docs.aws.amazon.com/wellarchitected/latest/serverless-applications-lens/identity-and-access-management.html" TargetMode="External"/><Relationship Id="rId13" Type="http://schemas.openxmlformats.org/officeDocument/2006/relationships/hyperlink" Target="https://docs.aws.amazon.com/wellarchitected/latest/serverless-applications-lens/identity-and-access-management.html" TargetMode="External"/><Relationship Id="rId12" Type="http://schemas.openxmlformats.org/officeDocument/2006/relationships/hyperlink" Target="https://docs.aws.amazon.com/wellarchitected/latest/serverless-applications-lens/identity-and-access-management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allisto.network/erc-20-standard-security-department-statement/" TargetMode="External"/><Relationship Id="rId15" Type="http://schemas.openxmlformats.org/officeDocument/2006/relationships/hyperlink" Target="https://docs.openzeppelin.com/contracts/5.x/api/token/erc20" TargetMode="External"/><Relationship Id="rId14" Type="http://schemas.openxmlformats.org/officeDocument/2006/relationships/hyperlink" Target="https://docs.openzeppelin.com/contracts/5.x/api/token/erc20" TargetMode="External"/><Relationship Id="rId17" Type="http://schemas.openxmlformats.org/officeDocument/2006/relationships/hyperlink" Target="https://callisto.network/erc-20-standard-security-department-statement/" TargetMode="External"/><Relationship Id="rId16" Type="http://schemas.openxmlformats.org/officeDocument/2006/relationships/hyperlink" Target="https://callisto.network/erc-20-standard-security-department-statement/" TargetMode="External"/><Relationship Id="rId5" Type="http://schemas.openxmlformats.org/officeDocument/2006/relationships/styles" Target="styles.xml"/><Relationship Id="rId19" Type="http://schemas.openxmlformats.org/officeDocument/2006/relationships/hyperlink" Target="https://theethereum.wiki/learn/erc20-token-standard/" TargetMode="External"/><Relationship Id="rId6" Type="http://schemas.openxmlformats.org/officeDocument/2006/relationships/hyperlink" Target="https://docs.openzeppelin.com/contracts/5.x/api/token/erc20" TargetMode="External"/><Relationship Id="rId18" Type="http://schemas.openxmlformats.org/officeDocument/2006/relationships/hyperlink" Target="https://theethereum.wiki/learn/erc20-token-standard/" TargetMode="External"/><Relationship Id="rId7" Type="http://schemas.openxmlformats.org/officeDocument/2006/relationships/hyperlink" Target="https://docs.openzeppelin.com/contracts/5.x/api/token/erc20" TargetMode="External"/><Relationship Id="rId8" Type="http://schemas.openxmlformats.org/officeDocument/2006/relationships/hyperlink" Target="https://callisto.network/erc-20-standard-security-department-stat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