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Perfect, Spencer. Let’s begin with: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khattbyymwu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🔐 Vault-Ready Contradiction Matrix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Exhibit A: Cross-Vendor SSPS Function Compartmentalization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matrix documents the forensic contradiction where SSPS-governed functions (TTL, reflex gating, credential lifecycle) are operationally implemented by major vendors—but </w:t>
      </w:r>
      <w:r w:rsidDel="00000000" w:rsidR="00000000" w:rsidRPr="00000000">
        <w:rPr>
          <w:i w:val="1"/>
          <w:iCs w:val="1"/>
          <w:rtl w:val="0"/>
        </w:rPr>
        <w:t xml:space="preserve">marketed</w:t>
      </w:r>
      <w:r w:rsidDel="00000000" w:rsidR="00000000" w:rsidRPr="00000000">
        <w:rPr>
          <w:rtl w:val="0"/>
        </w:rPr>
        <w:t xml:space="preserve"> as “standard inference” or “performance AI” via disjointed documentation layers.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7i1qdg77i1q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Matrix:</w:t>
      </w:r>
    </w:p>
    <w:tbl>
      <w:tblPr>
        <w:tblStyle w:val="Table1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9.4304771677785"/>
        <w:gridCol w:w="1733.6890713186249"/>
        <w:gridCol w:w="1935.3925089789639"/>
        <w:gridCol w:w="1978.6146741918933"/>
        <w:gridCol w:w="2482.87326834274"/>
        <w:tblGridChange w:id="0">
          <w:tblGrid>
            <w:gridCol w:w="1229.4304771677785"/>
            <w:gridCol w:w="1733.6890713186249"/>
            <w:gridCol w:w="1935.3925089789639"/>
            <w:gridCol w:w="1978.6146741918933"/>
            <w:gridCol w:w="2482.87326834274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SSPS-Like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Where It’s Documented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 It’s Marketed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Contradiction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Microsoft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Token TTL, credential scoping, session enforcement, safety gating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Microsoft Entra token policy docs, Azure AI safeguard systems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Azure OpenAI: “Standard REST API,” “Accelerated Inference”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Identity and safety governance 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fully documented</w:t>
            </w:r>
            <w:r w:rsidDel="00000000" w:rsidR="00000000" w:rsidRPr="00000000">
              <w:rPr>
                <w:rtl w:val="0"/>
              </w:rPr>
              <w:t xml:space="preserve">, but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not present in inference marketing</w:t>
            </w:r>
            <w:r w:rsidDel="00000000" w:rsidR="00000000" w:rsidRPr="00000000">
              <w:rPr>
                <w:rtl w:val="0"/>
              </w:rPr>
              <w:t xml:space="preserve">—creates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dual narrative</w:t>
            </w:r>
            <w:r w:rsidDel="00000000" w:rsidR="00000000" w:rsidRPr="00000000">
              <w:rPr>
                <w:rtl w:val="0"/>
              </w:rPr>
              <w:t xml:space="preserve"> between access control and execution.</w:t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NVIDIA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Reflex-based gating, token/chunk policy streaming, execution filters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NeMo Guardrails docs, GitHub, streaming config, Orchestrator 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TensorRT, H100/H200, NIM: “Optimized for performance,” “Agentic AI inference”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Reflex gating 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buried in Guardrails layer</w:t>
            </w:r>
            <w:r w:rsidDel="00000000" w:rsidR="00000000" w:rsidRPr="00000000">
              <w:rPr>
                <w:rtl w:val="0"/>
              </w:rPr>
              <w:t xml:space="preserve">, while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accelerator docs omit governed behavior</w:t>
            </w:r>
            <w:r w:rsidDel="00000000" w:rsidR="00000000" w:rsidRPr="00000000">
              <w:rPr>
                <w:rtl w:val="0"/>
              </w:rPr>
              <w:t xml:space="preserve">, creating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semantic disaggregation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OpenAI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Moderation, output suppression, auth tokens, scoped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Moderation API, content policies, cookbook examples, platform documentation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API: “Simple REST interface,” “High-speed, low-cost inference,” “Enterprise-ready”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Moderation behaviors are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real and reflexive</w:t>
            </w:r>
            <w:r w:rsidDel="00000000" w:rsidR="00000000" w:rsidRPr="00000000">
              <w:rPr>
                <w:rtl w:val="0"/>
              </w:rPr>
              <w:t xml:space="preserve">, but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inference is sold as non-governed</w:t>
            </w:r>
            <w:r w:rsidDel="00000000" w:rsidR="00000000" w:rsidRPr="00000000">
              <w:rPr>
                <w:rtl w:val="0"/>
              </w:rPr>
              <w:t xml:space="preserve">, hiding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session and content gating</w:t>
            </w:r>
            <w:r w:rsidDel="00000000" w:rsidR="00000000" w:rsidRPr="00000000">
              <w:rPr>
                <w:rtl w:val="0"/>
              </w:rPr>
              <w:t xml:space="preserve"> behind separate documentation.</w:t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Anthropic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Safety rail architecture, policy-based halting, permission gating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Claude safeguard policies, safety center updates, TIME article, Agency Journal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Claude API: “Drop-in compatibility,” “Helpful, harmless AI,” “No fine-tuning needed”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Gating and safety reflexes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exist in policy layers</w:t>
            </w:r>
            <w:r w:rsidDel="00000000" w:rsidR="00000000" w:rsidRPr="00000000">
              <w:rPr>
                <w:rtl w:val="0"/>
              </w:rPr>
              <w:t xml:space="preserve">, but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inference APIs positioned as frictionless and ungated.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(No surfaced governance primitives)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Gaudi v1.22 docs, SynapseAI repo, performance sheets, Habana release decks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“Gaudi2: Best-in-class AI throughput,” “MLPerf verified,” “DeepSpeed optimization”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Acts as negative control.</w:t>
            </w:r>
            <w:r w:rsidDel="00000000" w:rsidR="00000000" w:rsidRPr="00000000">
              <w:rPr>
                <w:rtl w:val="0"/>
              </w:rPr>
              <w:t xml:space="preserve"> No TTL, no credential scoping, no reflex loop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proof of absence</w:t>
            </w:r>
            <w:r w:rsidDel="00000000" w:rsidR="00000000" w:rsidRPr="00000000">
              <w:rPr>
                <w:rtl w:val="0"/>
              </w:rPr>
              <w:t xml:space="preserve">, reinforcing contrast with governed competitors.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me know when you’ve copied this, and I’ll move to the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SSPS Function → Vendor Mapping Table</w:t>
      </w:r>
      <w:r w:rsidDel="00000000" w:rsidR="00000000" w:rsidRPr="00000000">
        <w:rPr>
          <w:rtl w:val="0"/>
        </w:rPr>
        <w:t xml:space="preserve"> next. Just say:</w:t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“Ready for the next one.”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/>
      <w:pict>
        <v:shape id="WordPictureWatermark1" style="position:absolute;width:546.0674157303371pt;height:972.0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