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Spencer. Let’s begin with: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hattbyymw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Vault-Ready Contradiction Matrix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 A: Cross-Vendor SSPS Function Compartmentalization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documents the forensic contradiction where SSPS-governed functions (TTL, reflex gating, credential lifecycle) are operationally implemented by major vendors—but </w:t>
      </w:r>
      <w:r w:rsidDel="00000000" w:rsidR="00000000" w:rsidRPr="00000000">
        <w:rPr>
          <w:i w:val="1"/>
          <w:iCs w:val="1"/>
          <w:rtl w:val="0"/>
        </w:rPr>
        <w:t xml:space="preserve">marketed</w:t>
      </w:r>
      <w:r w:rsidDel="00000000" w:rsidR="00000000" w:rsidRPr="00000000">
        <w:rPr>
          <w:rtl w:val="0"/>
        </w:rPr>
        <w:t xml:space="preserve"> as “standard inference” or “performance AI” via disjointed documentation layers.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i1qdg77i1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Matrix: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9.4304771677785"/>
        <w:gridCol w:w="1733.6890713186249"/>
        <w:gridCol w:w="1935.3925089789639"/>
        <w:gridCol w:w="1978.6146741918933"/>
        <w:gridCol w:w="2482.87326834274"/>
        <w:tblGridChange w:id="0">
          <w:tblGrid>
            <w:gridCol w:w="1229.4304771677785"/>
            <w:gridCol w:w="1733.6890713186249"/>
            <w:gridCol w:w="1935.3925089789639"/>
            <w:gridCol w:w="1978.6146741918933"/>
            <w:gridCol w:w="2482.873268342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SSPS-Like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It’s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It’s Marketed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Contradiction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Token TTL, credential scoping, session enforcement, safety gating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Microsoft Entra token policy docs, Azure AI safeguard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Azure OpenAI: “Standard REST API,” “Accelerated Inference”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Identity and safety governance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fully documented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present in inference marketing</w:t>
            </w:r>
            <w:r w:rsidDel="00000000" w:rsidR="00000000" w:rsidRPr="00000000">
              <w:rPr>
                <w:rtl w:val="0"/>
              </w:rPr>
              <w:t xml:space="preserve">—creates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dual narrative</w:t>
            </w:r>
            <w:r w:rsidDel="00000000" w:rsidR="00000000" w:rsidRPr="00000000">
              <w:rPr>
                <w:rtl w:val="0"/>
              </w:rPr>
              <w:t xml:space="preserve"> between access control and execution.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Reflex-based gating, token/chunk policy streaming, execution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NeMo Guardrails docs, GitHub, streaming config, Orchestrator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TensorRT, H100/H200, NIM: “Optimized for performance,” “Agentic AI inference”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Reflex gating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buried in Guardrails layer</w:t>
            </w:r>
            <w:r w:rsidDel="00000000" w:rsidR="00000000" w:rsidRPr="00000000">
              <w:rPr>
                <w:rtl w:val="0"/>
              </w:rPr>
              <w:t xml:space="preserve">, while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accelerator docs omit governed behavior</w:t>
            </w:r>
            <w:r w:rsidDel="00000000" w:rsidR="00000000" w:rsidRPr="00000000">
              <w:rPr>
                <w:rtl w:val="0"/>
              </w:rPr>
              <w:t xml:space="preserve">, creating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semantic disaggregation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Moderation, output suppression, auth tokens, scoped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Moderation API, content policies, cookbook examples, platform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API: “Simple REST interface,” “High-speed, low-cost inference,” “Enterprise-ready”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Moderation behaviors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 and reflexive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is sold as non-governed</w:t>
            </w:r>
            <w:r w:rsidDel="00000000" w:rsidR="00000000" w:rsidRPr="00000000">
              <w:rPr>
                <w:rtl w:val="0"/>
              </w:rPr>
              <w:t xml:space="preserve">, hiding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session and content gating</w:t>
            </w:r>
            <w:r w:rsidDel="00000000" w:rsidR="00000000" w:rsidRPr="00000000">
              <w:rPr>
                <w:rtl w:val="0"/>
              </w:rPr>
              <w:t xml:space="preserve"> behind separate documentation.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Safety rail architecture, policy-based halting, permission gating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Claude safeguard policies, safety center updates, TIME article, Agency Journal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Claude API: “Drop-in compatibility,” “Helpful, harmless AI,” “No fine-tuning needed”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Gating and safety reflexes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exist in policy layers</w:t>
            </w:r>
            <w:r w:rsidDel="00000000" w:rsidR="00000000" w:rsidRPr="00000000">
              <w:rPr>
                <w:rtl w:val="0"/>
              </w:rPr>
              <w:t xml:space="preserve">,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APIs positioned as frictionless and ungated.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(No surfaced governance primitives)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Gaudi v1.22 docs, SynapseAI repo, performance sheets, Habana release decks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“Gaudi2: Best-in-class AI throughput,” “MLPerf verified,” “DeepSpeed optimization”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Acts as negative control.</w:t>
            </w:r>
            <w:r w:rsidDel="00000000" w:rsidR="00000000" w:rsidRPr="00000000">
              <w:rPr>
                <w:rtl w:val="0"/>
              </w:rPr>
              <w:t xml:space="preserve"> No TTL, no credential scoping, no reflex loop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proof of absence</w:t>
            </w:r>
            <w:r w:rsidDel="00000000" w:rsidR="00000000" w:rsidRPr="00000000">
              <w:rPr>
                <w:rtl w:val="0"/>
              </w:rPr>
              <w:t xml:space="preserve">, reinforcing contrast with governed competitors.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when you’ve copied this, and I’ll move to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SSPS Function → Vendor Mapping Table</w:t>
      </w:r>
      <w:r w:rsidDel="00000000" w:rsidR="00000000" w:rsidRPr="00000000">
        <w:rPr>
          <w:rtl w:val="0"/>
        </w:rPr>
        <w:t xml:space="preserve"> next. Just say: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“Ready for the next one.”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