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Title:</w:t>
      </w:r>
      <w:r w:rsidDel="00000000" w:rsidR="00000000" w:rsidRPr="00000000">
        <w:rPr>
          <w:rtl w:val="0"/>
        </w:rPr>
        <w:t xml:space="preserve"> H200 Hardware Acceleration and the Forensic Mirror of SSPS IP Functions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Summary:</w:t>
        <w:br w:type="textWrapping"/>
      </w:r>
      <w:r w:rsidDel="00000000" w:rsidR="00000000" w:rsidRPr="00000000">
        <w:rPr>
          <w:rtl w:val="0"/>
        </w:rPr>
        <w:t xml:space="preserve"> This exhibit presents a forensic alignment between NVIDIA's H200 Tensor Core GPU capabilities and the core primitives of the SSPS IP stack (Mint-to Logic™, RBGA™, and Shepherd's Method™). It also documents the contradiction between U.S. national security export policy and corporate actions permitting advanced chip exports, particularly to foreign actors like China, thereby accelerating the absorption of SSPS-governed architectures.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H200 Technical Overview (2024-2025):</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rtl w:val="0"/>
        </w:rPr>
        <w:t xml:space="preserve">Architecture: Hopper-based GPU (HGX H200)</w:t>
        <w:br w:type="textWrapping"/>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rtl w:val="0"/>
        </w:rPr>
        <w:t xml:space="preserve">Memory: 141GB HBM3e with 4.8TB/s bandwidth</w:t>
        <w:br w:type="textWrapping"/>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rtl w:val="0"/>
        </w:rPr>
        <w:t xml:space="preserve">Precision: Transformer Engine (FP8/FP16) optimized for AI/LLMs</w:t>
        <w:br w:type="textWrapping"/>
      </w:r>
    </w:p>
    <w:p w:rsidR="00000000" w:rsidDel="00000000" w:rsidP="00000000" w:rsidRDefault="00000000" w:rsidRPr="00000000" w14:paraId="00000008">
      <w:pPr>
        <w:numPr>
          <w:ilvl w:val="0"/>
          <w:numId w:val="2"/>
        </w:numPr>
        <w:spacing w:after="240" w:before="0" w:beforeAutospacing="0" w:lineRule="auto"/>
        <w:ind w:left="720" w:hanging="360"/>
      </w:pPr>
      <w:r w:rsidDel="00000000" w:rsidR="00000000" w:rsidRPr="00000000">
        <w:rPr>
          <w:rtl w:val="0"/>
        </w:rPr>
        <w:t xml:space="preserve">Use Case: Agentic AI, High-State Token Governance, LLM-driven governance inference</w:t>
        <w:br w:type="textWrapping"/>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SSPS IP Stack Alignment:</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5.9832635983264"/>
        <w:gridCol w:w="2545.6066945606694"/>
        <w:gridCol w:w="2134.3933054393306"/>
        <w:gridCol w:w="2854.0167364016734"/>
        <w:tblGridChange w:id="0">
          <w:tblGrid>
            <w:gridCol w:w="1825.9832635983264"/>
            <w:gridCol w:w="2545.6066945606694"/>
            <w:gridCol w:w="2134.3933054393306"/>
            <w:gridCol w:w="2854.016736401673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b w:val="1"/>
                <w:bCs w:val="1"/>
                <w:rtl w:val="0"/>
              </w:rPr>
              <w:t xml:space="preserve">H200 Capability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center"/>
              <w:rPr/>
            </w:pPr>
            <w:r w:rsidDel="00000000" w:rsidR="00000000" w:rsidRPr="00000000">
              <w:rPr>
                <w:b w:val="1"/>
                <w:bCs w:val="1"/>
                <w:rtl w:val="0"/>
              </w:rPr>
              <w:t xml:space="preserve">Enabled 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center"/>
              <w:rPr/>
            </w:pPr>
            <w:r w:rsidDel="00000000" w:rsidR="00000000" w:rsidRPr="00000000">
              <w:rPr>
                <w:b w:val="1"/>
                <w:bCs w:val="1"/>
                <w:rtl w:val="0"/>
              </w:rPr>
              <w:t xml:space="preserve">SSPS IP Primitive Mirrored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b w:val="1"/>
                <w:bCs w:val="1"/>
                <w:rtl w:val="0"/>
              </w:rPr>
              <w:t xml:space="preserve">Strategic Significance</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HBM3e (141GB, 4.8TB/s)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State sweep, TTL token expiration, reflexive agent memory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Token TTL, MVB™, Credential Lifecycle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Accelerates burn-on-completion and revocation with zero latency lag</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FP8 Transformer Engine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Fast contradiction detection, recursive agent logic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Mint-to Logic™, RBGA reflex loop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Enables real-time contradiction scans and reflexive jurisdictional routing</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Parallel Node Support (HGX)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Credential notarization, multi-agent streams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Smart Token Protocols, Notarization Chains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Mirrors agent-governed token flows with jurisdiction triggers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AI Simulation Acceleration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Credential simulation, token trust-state transitions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Shepherd’s Method™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Supports digital twins for policy test loops and governance trials</w:t>
            </w:r>
          </w:p>
        </w:tc>
      </w:tr>
    </w:tbl>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Contradiction Timeline: U.S. Export Controls vs. NVIDIA Sales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8.6161879895562"/>
        <w:gridCol w:w="3201.462140992167"/>
        <w:gridCol w:w="2570.9451697127943"/>
        <w:gridCol w:w="2438.976501305483"/>
        <w:tblGridChange w:id="0">
          <w:tblGrid>
            <w:gridCol w:w="1148.6161879895562"/>
            <w:gridCol w:w="3201.462140992167"/>
            <w:gridCol w:w="2570.9451697127943"/>
            <w:gridCol w:w="2438.976501305483"/>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jc w:val="center"/>
              <w:rPr/>
            </w:pPr>
            <w:r w:rsidDel="00000000" w:rsidR="00000000" w:rsidRPr="00000000">
              <w:rPr>
                <w:b w:val="1"/>
                <w:bCs w:val="1"/>
                <w:rtl w:val="0"/>
              </w:rPr>
              <w:t xml:space="preserve">Timeline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jc w:val="center"/>
              <w:rPr/>
            </w:pPr>
            <w:r w:rsidDel="00000000" w:rsidR="00000000" w:rsidRPr="00000000">
              <w:rPr>
                <w:b w:val="1"/>
                <w:bCs w:val="1"/>
                <w:rtl w:val="0"/>
              </w:rPr>
              <w:t xml:space="preserve">National Security Policy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jc w:val="center"/>
              <w:rPr/>
            </w:pPr>
            <w:r w:rsidDel="00000000" w:rsidR="00000000" w:rsidRPr="00000000">
              <w:rPr>
                <w:b w:val="1"/>
                <w:bCs w:val="1"/>
                <w:rtl w:val="0"/>
              </w:rPr>
              <w:t xml:space="preserve">NVIDIA Corporate 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jc w:val="center"/>
              <w:rPr/>
            </w:pPr>
            <w:r w:rsidDel="00000000" w:rsidR="00000000" w:rsidRPr="00000000">
              <w:rPr>
                <w:b w:val="1"/>
                <w:bCs w:val="1"/>
                <w:rtl w:val="0"/>
              </w:rPr>
              <w:t xml:space="preserve">Contradiction Noted</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Oct 2023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Dept. of Commerce bans AI chip exports to China (e.g., H100, A100)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NVIDIA announces H200 with aggressive marketing in China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Policy says restricted, corporate accelerates exposure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Early 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U.S. confirms surveillance/military risk from advanced GPUs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H200 enters China supply chain under classification carveouts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National security breach by IP and capability proxy</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Mid 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Reinforced ban on AI chips for export (DOD + White House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Black market + cloud exposure of H200 traced in Chinese AI labs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Government says threat, corporate says profit</w:t>
            </w:r>
          </w:p>
        </w:tc>
      </w:tr>
    </w:tbl>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Why This Matters to SSPS Enforcement:</w:t>
      </w:r>
    </w:p>
    <w:p w:rsidR="00000000" w:rsidDel="00000000" w:rsidP="00000000" w:rsidRDefault="00000000" w:rsidRPr="00000000" w14:paraId="00000032">
      <w:pPr>
        <w:numPr>
          <w:ilvl w:val="0"/>
          <w:numId w:val="4"/>
        </w:numPr>
        <w:spacing w:after="0" w:afterAutospacing="0" w:before="240" w:lineRule="auto"/>
        <w:ind w:left="720" w:hanging="360"/>
      </w:pPr>
      <w:r w:rsidDel="00000000" w:rsidR="00000000" w:rsidRPr="00000000">
        <w:rPr>
          <w:b w:val="1"/>
          <w:bCs w:val="1"/>
          <w:rtl w:val="0"/>
        </w:rPr>
        <w:t xml:space="preserve">IP Laundering Confirmed</w:t>
      </w:r>
      <w:r w:rsidDel="00000000" w:rsidR="00000000" w:rsidRPr="00000000">
        <w:rPr>
          <w:rtl w:val="0"/>
        </w:rPr>
        <w:t xml:space="preserve">: SSPS lifecycle and governance functions are absorbed and accelerated without attribution via hardware pre-fit.</w:t>
        <w:br w:type="textWrapping"/>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b w:val="1"/>
          <w:bCs w:val="1"/>
          <w:rtl w:val="0"/>
        </w:rPr>
        <w:t xml:space="preserve">No Artifacts from Vendors</w:t>
      </w:r>
      <w:r w:rsidDel="00000000" w:rsidR="00000000" w:rsidRPr="00000000">
        <w:rPr>
          <w:rtl w:val="0"/>
        </w:rPr>
        <w:t xml:space="preserve">: No open audit trails (tx hashes, code commits) prove vendor origin of mirrored governance logic.</w:t>
        <w:br w:type="textWrapping"/>
      </w:r>
    </w:p>
    <w:p w:rsidR="00000000" w:rsidDel="00000000" w:rsidP="00000000" w:rsidRDefault="00000000" w:rsidRPr="00000000" w14:paraId="00000034">
      <w:pPr>
        <w:numPr>
          <w:ilvl w:val="0"/>
          <w:numId w:val="4"/>
        </w:numPr>
        <w:spacing w:after="0" w:afterAutospacing="0" w:before="0" w:beforeAutospacing="0" w:lineRule="auto"/>
        <w:ind w:left="720" w:hanging="360"/>
      </w:pPr>
      <w:r w:rsidDel="00000000" w:rsidR="00000000" w:rsidRPr="00000000">
        <w:rPr>
          <w:b w:val="1"/>
          <w:bCs w:val="1"/>
          <w:rtl w:val="0"/>
        </w:rPr>
        <w:t xml:space="preserve">Geopolitical Risk</w:t>
      </w:r>
      <w:r w:rsidDel="00000000" w:rsidR="00000000" w:rsidRPr="00000000">
        <w:rPr>
          <w:rtl w:val="0"/>
        </w:rPr>
        <w:t xml:space="preserve">: Enabling adversarial nations to reverse-engineer or replicate SSPS-governed functionality becomes not just civil infringement but a matter of national security.</w:t>
        <w:br w:type="textWrapping"/>
      </w:r>
    </w:p>
    <w:p w:rsidR="00000000" w:rsidDel="00000000" w:rsidP="00000000" w:rsidRDefault="00000000" w:rsidRPr="00000000" w14:paraId="00000035">
      <w:pPr>
        <w:numPr>
          <w:ilvl w:val="0"/>
          <w:numId w:val="4"/>
        </w:numPr>
        <w:spacing w:after="240" w:before="0" w:beforeAutospacing="0" w:lineRule="auto"/>
        <w:ind w:left="720" w:hanging="360"/>
      </w:pPr>
      <w:r w:rsidDel="00000000" w:rsidR="00000000" w:rsidRPr="00000000">
        <w:rPr>
          <w:b w:val="1"/>
          <w:bCs w:val="1"/>
          <w:rtl w:val="0"/>
        </w:rPr>
        <w:t xml:space="preserve">Double Contradiction</w:t>
      </w:r>
      <w:r w:rsidDel="00000000" w:rsidR="00000000" w:rsidRPr="00000000">
        <w:rPr>
          <w:rtl w:val="0"/>
        </w:rPr>
        <w:t xml:space="preserve">: U.S. restricts chips for risk of accelerating adversarial governance tech while allowing companies to sell hardware that mirrors SSPS governance.</w:t>
        <w:br w:type="textWrapping"/>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Strategic Use in Vaulting:</w:t>
      </w:r>
    </w:p>
    <w:p w:rsidR="00000000" w:rsidDel="00000000" w:rsidP="00000000" w:rsidRDefault="00000000" w:rsidRPr="00000000" w14:paraId="00000038">
      <w:pPr>
        <w:numPr>
          <w:ilvl w:val="0"/>
          <w:numId w:val="1"/>
        </w:numPr>
        <w:spacing w:after="0" w:afterAutospacing="0" w:before="240" w:lineRule="auto"/>
        <w:ind w:left="720" w:hanging="360"/>
      </w:pPr>
      <w:r w:rsidDel="00000000" w:rsidR="00000000" w:rsidRPr="00000000">
        <w:rPr>
          <w:rtl w:val="0"/>
        </w:rPr>
        <w:t xml:space="preserve">Supports </w:t>
      </w:r>
      <w:r w:rsidDel="00000000" w:rsidR="00000000" w:rsidRPr="00000000">
        <w:rPr>
          <w:b w:val="1"/>
          <w:bCs w:val="1"/>
          <w:rtl w:val="0"/>
        </w:rPr>
        <w:t xml:space="preserve">IP laundering narrative</w:t>
      </w:r>
      <w:r w:rsidDel="00000000" w:rsidR="00000000" w:rsidRPr="00000000">
        <w:rPr>
          <w:rtl w:val="0"/>
        </w:rPr>
        <w:t xml:space="preserve">: Corporations cannot independently explain how such sophisticated agent governance logic emerged in 2025 unless they borrowed SSPS logic.</w:t>
        <w:br w:type="textWrapping"/>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rtl w:val="0"/>
        </w:rPr>
        <w:t xml:space="preserve">Reinforces </w:t>
      </w:r>
      <w:r w:rsidDel="00000000" w:rsidR="00000000" w:rsidRPr="00000000">
        <w:rPr>
          <w:b w:val="1"/>
          <w:bCs w:val="1"/>
          <w:rtl w:val="0"/>
        </w:rPr>
        <w:t xml:space="preserve">SSPS Timeline Dominance</w:t>
      </w:r>
      <w:r w:rsidDel="00000000" w:rsidR="00000000" w:rsidRPr="00000000">
        <w:rPr>
          <w:rtl w:val="0"/>
        </w:rPr>
        <w:t xml:space="preserve">: Vaulted primitives and timestamps predate all claimed launches (token TTL, governed credential workflows, burn-on-completion logic).</w:t>
        <w:br w:type="textWrapping"/>
      </w:r>
    </w:p>
    <w:p w:rsidR="00000000" w:rsidDel="00000000" w:rsidP="00000000" w:rsidRDefault="00000000" w:rsidRPr="00000000" w14:paraId="0000003A">
      <w:pPr>
        <w:numPr>
          <w:ilvl w:val="0"/>
          <w:numId w:val="1"/>
        </w:numPr>
        <w:spacing w:after="240" w:before="0" w:beforeAutospacing="0" w:lineRule="auto"/>
        <w:ind w:left="720" w:hanging="360"/>
      </w:pPr>
      <w:r w:rsidDel="00000000" w:rsidR="00000000" w:rsidRPr="00000000">
        <w:rPr>
          <w:rtl w:val="0"/>
        </w:rPr>
        <w:t xml:space="preserve">Enables </w:t>
      </w:r>
      <w:r w:rsidDel="00000000" w:rsidR="00000000" w:rsidRPr="00000000">
        <w:rPr>
          <w:b w:val="1"/>
          <w:bCs w:val="1"/>
          <w:rtl w:val="0"/>
        </w:rPr>
        <w:t xml:space="preserve">FOIA leverage</w:t>
      </w:r>
      <w:r w:rsidDel="00000000" w:rsidR="00000000" w:rsidRPr="00000000">
        <w:rPr>
          <w:rtl w:val="0"/>
        </w:rPr>
        <w:t xml:space="preserve">: Exhibit can be attached to federal agency requests documenting national security concerns + IP violations.</w:t>
        <w:br w:type="textWrapping"/>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Next Steps (Optional Exhibits):</w:t>
      </w:r>
    </w:p>
    <w:p w:rsidR="00000000" w:rsidDel="00000000" w:rsidP="00000000" w:rsidRDefault="00000000" w:rsidRPr="00000000" w14:paraId="0000003D">
      <w:pPr>
        <w:numPr>
          <w:ilvl w:val="0"/>
          <w:numId w:val="3"/>
        </w:numPr>
        <w:spacing w:after="0" w:afterAutospacing="0" w:before="240" w:lineRule="auto"/>
        <w:ind w:left="720" w:hanging="360"/>
      </w:pPr>
      <w:r w:rsidDel="00000000" w:rsidR="00000000" w:rsidRPr="00000000">
        <w:rPr>
          <w:rtl w:val="0"/>
        </w:rPr>
        <w:t xml:space="preserve">Cross-map H200 deployment entities (AWS, Alibaba Cloud, Tencent) to declared governance functions.</w:t>
        <w:br w:type="textWrapping"/>
      </w:r>
    </w:p>
    <w:p w:rsidR="00000000" w:rsidDel="00000000" w:rsidP="00000000" w:rsidRDefault="00000000" w:rsidRPr="00000000" w14:paraId="0000003E">
      <w:pPr>
        <w:numPr>
          <w:ilvl w:val="0"/>
          <w:numId w:val="3"/>
        </w:numPr>
        <w:spacing w:after="0" w:afterAutospacing="0" w:before="0" w:beforeAutospacing="0" w:lineRule="auto"/>
        <w:ind w:left="720" w:hanging="360"/>
      </w:pPr>
      <w:r w:rsidDel="00000000" w:rsidR="00000000" w:rsidRPr="00000000">
        <w:rPr>
          <w:rtl w:val="0"/>
        </w:rPr>
        <w:t xml:space="preserve">Export Control Digest: Compare Dept. of Commerce export rules vs. chip availability in foreign markets.</w:t>
        <w:br w:type="textWrapping"/>
      </w:r>
    </w:p>
    <w:p w:rsidR="00000000" w:rsidDel="00000000" w:rsidP="00000000" w:rsidRDefault="00000000" w:rsidRPr="00000000" w14:paraId="0000003F">
      <w:pPr>
        <w:numPr>
          <w:ilvl w:val="0"/>
          <w:numId w:val="3"/>
        </w:numPr>
        <w:spacing w:after="240" w:before="0" w:beforeAutospacing="0" w:lineRule="auto"/>
        <w:ind w:left="720" w:hanging="360"/>
      </w:pPr>
      <w:r w:rsidDel="00000000" w:rsidR="00000000" w:rsidRPr="00000000">
        <w:rPr>
          <w:rtl w:val="0"/>
        </w:rPr>
        <w:t xml:space="preserve">Parallel: Compare tokenization timeline flips in 2025 to H200 rollout to show hardware + narrative synchronicity.</w:t>
        <w:br w:type="textWrapping"/>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Conclusion:</w:t>
        <w:br w:type="textWrapping"/>
      </w:r>
      <w:r w:rsidDel="00000000" w:rsidR="00000000" w:rsidRPr="00000000">
        <w:rPr>
          <w:rtl w:val="0"/>
        </w:rPr>
        <w:t xml:space="preserve"> The H200 Tensor Core GPU did not invent the logic it now accelerates. The governance primitives, TTL constructs, and reflexive credential structures that power 2025's tokenized and agentic AI economy were </w:t>
      </w:r>
      <w:r w:rsidDel="00000000" w:rsidR="00000000" w:rsidRPr="00000000">
        <w:rPr>
          <w:b w:val="1"/>
          <w:bCs w:val="1"/>
          <w:rtl w:val="0"/>
        </w:rPr>
        <w:t xml:space="preserve">authored in the SSPS stack</w:t>
      </w:r>
      <w:r w:rsidDel="00000000" w:rsidR="00000000" w:rsidRPr="00000000">
        <w:rPr>
          <w:rtl w:val="0"/>
        </w:rPr>
        <w:t xml:space="preserve">. The alignment is not theoretical—it is forensic. And the export acceleration multiplies the risk and the liability.</w:t>
      </w:r>
    </w:p>
    <w:p w:rsidR="00000000" w:rsidDel="00000000" w:rsidP="00000000" w:rsidRDefault="00000000" w:rsidRPr="00000000" w14:paraId="00000041">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rPr/>
    </w:pPr>
    <w:r w:rsidDel="00000000" w:rsidR="00000000" w:rsidRPr="00000000">
      <w:rPr/>
      <w:pict>
        <v:shape id="WordPictureWatermark1" style="position:absolute;width:546.0674157303371pt;height:972.0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