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direct, official documentation links for each of the industry targets listed in your framework categories, formatted to be viewed instantly: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gfoodcv2a68g" w:id="0"/>
      <w:bookmarkEnd w:id="0"/>
      <w:r w:rsidDel="00000000" w:rsidR="00000000" w:rsidRPr="00000000">
        <w:rPr>
          <w:sz w:val="30"/>
          <w:szCs w:val="30"/>
          <w:rtl w:val="0"/>
        </w:rPr>
        <w:t xml:space="preserve">1. Lifecycle Logic (Short-Lived / Just-In-Time Tokens)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Entra ID</w:t>
      </w:r>
      <w:r w:rsidDel="00000000" w:rsidR="00000000" w:rsidRPr="00000000">
        <w:rPr>
          <w:rtl w:val="0"/>
        </w:rPr>
        <w:t xml:space="preserve">: View the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Microsoft Entra Continuous Access Evaluation (CAE) Guide</w:t>
        </w:r>
      </w:hyperlink>
      <w:r w:rsidDel="00000000" w:rsidR="00000000" w:rsidRPr="00000000">
        <w:rPr>
          <w:rtl w:val="0"/>
        </w:rPr>
        <w:t xml:space="preserve"> to inspect real-time token revoking mechanisms. For edge deployments, check the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Application Proxy CAE Documentation</w:t>
        </w:r>
      </w:hyperlink>
      <w:r w:rsidDel="00000000" w:rsidR="00000000" w:rsidRPr="00000000">
        <w:rPr>
          <w:rtl w:val="0"/>
        </w:rPr>
        <w:t xml:space="preserve">. [1, 2]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IAM Identity Center / STS</w:t>
      </w:r>
      <w:r w:rsidDel="00000000" w:rsidR="00000000" w:rsidRPr="00000000">
        <w:rPr>
          <w:rtl w:val="0"/>
        </w:rPr>
        <w:t xml:space="preserve">: Read the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AWS STS AssumeRole API Reference</w:t>
        </w:r>
      </w:hyperlink>
      <w:r w:rsidDel="00000000" w:rsidR="00000000" w:rsidRPr="00000000">
        <w:rPr>
          <w:rtl w:val="0"/>
        </w:rPr>
        <w:t xml:space="preserve"> to see how temporary, cryptographically bound session credentials are minted. [3]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59iesjui2ouv" w:id="1"/>
      <w:bookmarkEnd w:id="1"/>
      <w:r w:rsidDel="00000000" w:rsidR="00000000" w:rsidRPr="00000000">
        <w:rPr>
          <w:sz w:val="30"/>
          <w:szCs w:val="30"/>
          <w:rtl w:val="0"/>
        </w:rPr>
        <w:t xml:space="preserve">2. Metadata-Driven Routing (Tools / Function Calling)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: Review the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OpenAI Function Calling Guide</w:t>
        </w:r>
      </w:hyperlink>
      <w:r w:rsidDel="00000000" w:rsidR="00000000" w:rsidRPr="00000000">
        <w:rPr>
          <w:rtl w:val="0"/>
        </w:rPr>
        <w:t xml:space="preserve"> to analyze how routing states navigate the application layer.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Anthropic</w:t>
      </w:r>
      <w:r w:rsidDel="00000000" w:rsidR="00000000" w:rsidRPr="00000000">
        <w:rPr>
          <w:rtl w:val="0"/>
        </w:rPr>
        <w:t xml:space="preserve">: Review the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Claude Platform Tool Use Overview</w:t>
        </w:r>
      </w:hyperlink>
      <w:r w:rsidDel="00000000" w:rsidR="00000000" w:rsidRPr="00000000">
        <w:rPr>
          <w:rtl w:val="0"/>
        </w:rPr>
        <w:t xml:space="preserve"> to track model-driven execution states. For context-saving mechanics, see the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Advanced Tool Use Framework</w:t>
        </w:r>
      </w:hyperlink>
      <w:r w:rsidDel="00000000" w:rsidR="00000000" w:rsidRPr="00000000">
        <w:rPr>
          <w:rtl w:val="0"/>
        </w:rPr>
        <w:t xml:space="preserve">. [4, 5, 6]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snyqqj9c1u6o" w:id="2"/>
      <w:bookmarkEnd w:id="2"/>
      <w:r w:rsidDel="00000000" w:rsidR="00000000" w:rsidRPr="00000000">
        <w:rPr>
          <w:sz w:val="30"/>
          <w:szCs w:val="30"/>
          <w:rtl w:val="0"/>
        </w:rPr>
        <w:t xml:space="preserve">3. Identity and Cross-Platform Architectures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Integrations</w:t>
      </w:r>
      <w:r w:rsidDel="00000000" w:rsidR="00000000" w:rsidRPr="00000000">
        <w:rPr>
          <w:rtl w:val="0"/>
        </w:rPr>
        <w:t xml:space="preserve">: Review the architectural mappings on how cross-domain configurations operate by reading the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Microsoft Entra Security Reference for AWS</w:t>
        </w:r>
      </w:hyperlink>
      <w:r w:rsidDel="00000000" w:rsidR="00000000" w:rsidRPr="00000000">
        <w:rPr>
          <w:rtl w:val="0"/>
        </w:rPr>
        <w:t xml:space="preserve">. [7]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need any specific API schemas or code samples pulled directly from these specific source guides to match against your repositories, let me know.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[1]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[2]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[3]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[4]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https://developers.openai.com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[5]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https://platform.claude.com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[6]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https://www.anthropic.com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[7]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earn.microsoft.com/en-us/entra/identity/conditional-access/concept-continuous-access-evaluation" TargetMode="External"/><Relationship Id="rId22" Type="http://schemas.openxmlformats.org/officeDocument/2006/relationships/hyperlink" Target="https://learn.microsoft.com/en-us/entra/identity/app-proxy/concept-continuous-access-evaluation" TargetMode="External"/><Relationship Id="rId21" Type="http://schemas.openxmlformats.org/officeDocument/2006/relationships/hyperlink" Target="https://learn.microsoft.com/en-us/entra/identity/conditional-access/concept-continuous-access-evaluation" TargetMode="External"/><Relationship Id="rId24" Type="http://schemas.openxmlformats.org/officeDocument/2006/relationships/hyperlink" Target="https://docs.aws.amazon.com/STS/latest/APIReference/API_AssumeRole.html" TargetMode="External"/><Relationship Id="rId23" Type="http://schemas.openxmlformats.org/officeDocument/2006/relationships/hyperlink" Target="https://learn.microsoft.com/en-us/entra/identity/app-proxy/concept-continuous-access-evalu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entra/identity/app-proxy/concept-continuous-access-evaluation" TargetMode="External"/><Relationship Id="rId26" Type="http://schemas.openxmlformats.org/officeDocument/2006/relationships/hyperlink" Target="https://developers.openai.com/api/docs/guides/function-calling" TargetMode="External"/><Relationship Id="rId25" Type="http://schemas.openxmlformats.org/officeDocument/2006/relationships/hyperlink" Target="https://docs.aws.amazon.com/STS/latest/APIReference/API_AssumeRole.html" TargetMode="External"/><Relationship Id="rId28" Type="http://schemas.openxmlformats.org/officeDocument/2006/relationships/hyperlink" Target="https://platform.claude.com/docs/en/agents-and-tools/tool-use/overview" TargetMode="External"/><Relationship Id="rId27" Type="http://schemas.openxmlformats.org/officeDocument/2006/relationships/hyperlink" Target="https://developers.openai.com/api/docs/guides/function-call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entra/identity/conditional-access/concept-continuous-access-evaluation" TargetMode="External"/><Relationship Id="rId29" Type="http://schemas.openxmlformats.org/officeDocument/2006/relationships/hyperlink" Target="https://platform.claude.com/docs/en/agents-and-tools/tool-use/overview" TargetMode="External"/><Relationship Id="rId7" Type="http://schemas.openxmlformats.org/officeDocument/2006/relationships/hyperlink" Target="https://learn.microsoft.com/en-us/entra/identity/conditional-access/concept-continuous-access-evaluation" TargetMode="External"/><Relationship Id="rId8" Type="http://schemas.openxmlformats.org/officeDocument/2006/relationships/hyperlink" Target="https://learn.microsoft.com/en-us/entra/identity/app-proxy/concept-continuous-access-evaluation" TargetMode="External"/><Relationship Id="rId31" Type="http://schemas.openxmlformats.org/officeDocument/2006/relationships/hyperlink" Target="https://www.anthropic.com/engineering/advanced-tool-use" TargetMode="External"/><Relationship Id="rId30" Type="http://schemas.openxmlformats.org/officeDocument/2006/relationships/hyperlink" Target="https://www.anthropic.com/engineering/advanced-tool-use" TargetMode="External"/><Relationship Id="rId11" Type="http://schemas.openxmlformats.org/officeDocument/2006/relationships/hyperlink" Target="https://docs.aws.amazon.com/STS/latest/APIReference/API_AssumeRole.html" TargetMode="External"/><Relationship Id="rId33" Type="http://schemas.openxmlformats.org/officeDocument/2006/relationships/hyperlink" Target="https://learn.microsoft.com/en-us/azure/architecture/reference-architectures/aws/aws-azure-ad-security" TargetMode="External"/><Relationship Id="rId10" Type="http://schemas.openxmlformats.org/officeDocument/2006/relationships/hyperlink" Target="https://docs.aws.amazon.com/STS/latest/APIReference/API_AssumeRole.html" TargetMode="External"/><Relationship Id="rId32" Type="http://schemas.openxmlformats.org/officeDocument/2006/relationships/hyperlink" Target="https://learn.microsoft.com/en-us/azure/architecture/reference-architectures/aws/aws-azure-ad-security" TargetMode="External"/><Relationship Id="rId13" Type="http://schemas.openxmlformats.org/officeDocument/2006/relationships/hyperlink" Target="https://developers.openai.com/api/docs/guides/function-calling" TargetMode="External"/><Relationship Id="rId12" Type="http://schemas.openxmlformats.org/officeDocument/2006/relationships/hyperlink" Target="https://developers.openai.com/api/docs/guides/function-calling" TargetMode="External"/><Relationship Id="rId15" Type="http://schemas.openxmlformats.org/officeDocument/2006/relationships/hyperlink" Target="https://platform.claude.com/docs/en/agents-and-tools/tool-use/overview" TargetMode="External"/><Relationship Id="rId14" Type="http://schemas.openxmlformats.org/officeDocument/2006/relationships/hyperlink" Target="https://platform.claude.com/docs/en/agents-and-tools/tool-use/overview" TargetMode="External"/><Relationship Id="rId17" Type="http://schemas.openxmlformats.org/officeDocument/2006/relationships/hyperlink" Target="https://www.anthropic.com/engineering/advanced-tool-use" TargetMode="External"/><Relationship Id="rId16" Type="http://schemas.openxmlformats.org/officeDocument/2006/relationships/hyperlink" Target="https://www.anthropic.com/engineering/advanced-tool-use" TargetMode="External"/><Relationship Id="rId19" Type="http://schemas.openxmlformats.org/officeDocument/2006/relationships/hyperlink" Target="https://learn.microsoft.com/en-us/azure/architecture/reference-architectures/aws/aws-azure-ad-security" TargetMode="External"/><Relationship Id="rId18" Type="http://schemas.openxmlformats.org/officeDocument/2006/relationships/hyperlink" Target="https://learn.microsoft.com/en-us/azure/architecture/reference-architectures/aws/aws-azure-ad-secu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