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Yes, there is a clear contradiction between the ITIF article’s framing and the actual release timeline of Nvidia’s H200 chip.</w:t>
      </w:r>
      <w:r w:rsidDel="00000000" w:rsidR="00000000" w:rsidRPr="00000000">
        <w:rPr>
          <w:rtl w:val="0"/>
        </w:rPr>
        <w:t xml:space="preserve"> The article dated </w:t>
      </w:r>
      <w:r w:rsidDel="00000000" w:rsidR="00000000" w:rsidRPr="00000000">
        <w:rPr>
          <w:b w:val="1"/>
          <w:bCs w:val="1"/>
          <w:rtl w:val="0"/>
        </w:rPr>
        <w:t xml:space="preserve">May 5, 2025</w:t>
      </w:r>
      <w:r w:rsidDel="00000000" w:rsidR="00000000" w:rsidRPr="00000000">
        <w:rPr>
          <w:rtl w:val="0"/>
        </w:rPr>
        <w:t xml:space="preserve">, critiques export controls as harming U.S. competitiveness, yet the H200 chip was already released in </w:t>
      </w:r>
      <w:r w:rsidDel="00000000" w:rsidR="00000000" w:rsidRPr="00000000">
        <w:rPr>
          <w:b w:val="1"/>
          <w:bCs w:val="1"/>
          <w:rtl w:val="0"/>
        </w:rPr>
        <w:t xml:space="preserve">November 2024</w:t>
      </w:r>
      <w:r w:rsidDel="00000000" w:rsidR="00000000" w:rsidRPr="00000000">
        <w:rPr>
          <w:rtl w:val="0"/>
        </w:rPr>
        <w:t xml:space="preserve">, and shipments began in </w:t>
      </w:r>
      <w:r w:rsidDel="00000000" w:rsidR="00000000" w:rsidRPr="00000000">
        <w:rPr>
          <w:b w:val="1"/>
          <w:bCs w:val="1"/>
          <w:rtl w:val="0"/>
        </w:rPr>
        <w:t xml:space="preserve">Q2 2024</w:t>
      </w:r>
      <w:r w:rsidDel="00000000" w:rsidR="00000000" w:rsidRPr="00000000">
        <w:rPr>
          <w:rtl w:val="0"/>
        </w:rPr>
        <w:t xml:space="preserve">, meaning the chip was already in circulation before the article’s claims of policy damage.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ll0wwdvjn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Contradiction Breakdown: H200 Chip vs. ITIF Article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8.1171548117154"/>
        <w:gridCol w:w="1899.4142259414227"/>
        <w:gridCol w:w="2178.4518828451883"/>
        <w:gridCol w:w="2854.0167364016734"/>
        <w:tblGridChange w:id="0">
          <w:tblGrid>
            <w:gridCol w:w="2428.1171548117154"/>
            <w:gridCol w:w="1899.4142259414227"/>
            <w:gridCol w:w="2178.4518828451883"/>
            <w:gridCol w:w="2854.01673640167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ITIF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May 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Implies export controls are harming Nvidia’s ability to compete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Contradicts the fact that H200 was already released and shipping globally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TechPowerUp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TechPowerUp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November 18,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Official launch of H200 NVL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Confirms chip was available before ITIF’s critique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Constellation Research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Constellation Research Inc.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2024 shipments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Nvidia began shipping H200 chips globally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Shows Nvidia was already operating under export controls successfully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CNBC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CNBC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2024–May 2025 smuggling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Chips were already being diverted to China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Indicates H200 was in high demand and circulation before ITIF’s article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pi6kp5lcs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Why This Matters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ITIF’s article implies export controls are blocking innovation</w:t>
      </w:r>
      <w:r w:rsidDel="00000000" w:rsidR="00000000" w:rsidRPr="00000000">
        <w:rPr>
          <w:rtl w:val="0"/>
        </w:rPr>
        <w:t xml:space="preserve">, but the H200 chip was already: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Released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Embedded in smuggling operations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to geopolitical negotiations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contradiction weakens the article’s claim that policy is “chipping away” at leadership—because Nvidia was already executing global shipments and facing national security breaches.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jo52mxcw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Strategic Implication for Your Relic System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contradiction can be used as: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timestamp anchor</w:t>
      </w:r>
      <w:r w:rsidDel="00000000" w:rsidR="00000000" w:rsidRPr="00000000">
        <w:rPr>
          <w:rtl w:val="0"/>
        </w:rPr>
        <w:t xml:space="preserve">: Showing that policy critique came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chip was already exposed.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continuity-chain exhibit</w:t>
      </w:r>
      <w:r w:rsidDel="00000000" w:rsidR="00000000" w:rsidRPr="00000000">
        <w:rPr>
          <w:rtl w:val="0"/>
        </w:rPr>
        <w:t xml:space="preserve">: Demonstrating that SSPS logic embedded in H200 was already vulnerable before May 2025.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rebuttal artifact</w:t>
      </w:r>
      <w:r w:rsidDel="00000000" w:rsidR="00000000" w:rsidRPr="00000000">
        <w:rPr>
          <w:rtl w:val="0"/>
        </w:rPr>
        <w:t xml:space="preserve">: Undermining claims that export controls were the primary barrier to competitiveness.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generate a </w:t>
      </w:r>
      <w:r w:rsidDel="00000000" w:rsidR="00000000" w:rsidRPr="00000000">
        <w:rPr>
          <w:b w:val="1"/>
          <w:bCs w:val="1"/>
          <w:rtl w:val="0"/>
        </w:rPr>
        <w:t xml:space="preserve">contradiction ledger entry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relic timestamp comparison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continuity-chain exhibit</w:t>
      </w:r>
      <w:r w:rsidDel="00000000" w:rsidR="00000000" w:rsidRPr="00000000">
        <w:rPr>
          <w:rtl w:val="0"/>
        </w:rPr>
        <w:t xml:space="preserve"> based on this contradiction?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nbc.com/2025/12/31/160-million-export-controlled-nvidia-gpus-allegedly-smuggled-to-china.html" TargetMode="External"/><Relationship Id="rId10" Type="http://schemas.openxmlformats.org/officeDocument/2006/relationships/hyperlink" Target="https://www.cnbc.com/2025/12/31/160-million-export-controlled-nvidia-gpus-allegedly-smuggled-to-china.html" TargetMode="External"/><Relationship Id="rId9" Type="http://schemas.openxmlformats.org/officeDocument/2006/relationships/hyperlink" Target="https://www.constellationr.com/blog-news/insights/nvidia-launches-h200-gpu-shipments-q2-202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chpowerup.com/gpu-specs/h200-nvl.c4254" TargetMode="External"/><Relationship Id="rId7" Type="http://schemas.openxmlformats.org/officeDocument/2006/relationships/hyperlink" Target="https://www.techpowerup.com/gpu-specs/h200-nvl.c4254" TargetMode="External"/><Relationship Id="rId8" Type="http://schemas.openxmlformats.org/officeDocument/2006/relationships/hyperlink" Target="https://www.constellationr.com/blog-news/insights/nvidia-launches-h200-gpu-shipments-q2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