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zcpylrgd3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🔶 01_Mint Module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Mint Module</w:t>
      </w:r>
      <w:r w:rsidDel="00000000" w:rsidR="00000000" w:rsidRPr="00000000">
        <w:rPr>
          <w:rtl w:val="0"/>
        </w:rPr>
        <w:t xml:space="preserve"> is the origin point of the Mint-to Logic™ lifecycle. It establishes the </w:t>
      </w:r>
      <w:r w:rsidDel="00000000" w:rsidR="00000000" w:rsidRPr="00000000">
        <w:rPr>
          <w:b w:val="1"/>
          <w:bCs w:val="1"/>
          <w:rtl w:val="0"/>
        </w:rPr>
        <w:t xml:space="preserve">initial creation of a Mint Unit</w:t>
      </w:r>
      <w:r w:rsidDel="00000000" w:rsidR="00000000" w:rsidRPr="00000000">
        <w:rPr>
          <w:rtl w:val="0"/>
        </w:rPr>
        <w:t xml:space="preserve">, embedding metadata, purpose, and initial validation conditions into the lifecycle of any digital credential, token, or access permission.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co2vz40m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Responsibilities: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of a Mint Unit ID</w:t>
      </w:r>
      <w:r w:rsidDel="00000000" w:rsidR="00000000" w:rsidRPr="00000000">
        <w:rPr>
          <w:rtl w:val="0"/>
        </w:rPr>
        <w:t xml:space="preserve">: A unique identifier attached to each newly minted credential.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Tagging Metadata</w:t>
      </w:r>
      <w:r w:rsidDel="00000000" w:rsidR="00000000" w:rsidRPr="00000000">
        <w:rPr>
          <w:rtl w:val="0"/>
        </w:rPr>
        <w:t xml:space="preserve">: Includes intent, category, vertical, issuance context, and value logic.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Anchoring</w:t>
      </w:r>
      <w:r w:rsidDel="00000000" w:rsidR="00000000" w:rsidRPr="00000000">
        <w:rPr>
          <w:rtl w:val="0"/>
        </w:rPr>
        <w:t xml:space="preserve">: Timestamps are anchored in the </w:t>
      </w:r>
      <w:r w:rsidDel="00000000" w:rsidR="00000000" w:rsidRPr="00000000">
        <w:rPr>
          <w:i w:val="1"/>
          <w:iCs w:val="1"/>
          <w:rtl w:val="0"/>
        </w:rPr>
        <w:t xml:space="preserve">Chrono-Synaptic Memory Ledger™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Gate for Validation</w:t>
      </w:r>
      <w:r w:rsidDel="00000000" w:rsidR="00000000" w:rsidRPr="00000000">
        <w:rPr>
          <w:rtl w:val="0"/>
        </w:rPr>
        <w:t xml:space="preserve">: Ensures proper permissions, source validation, or proof-of-origin are submitted before full lifecycle initiation.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kzh8jf61r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Optional Parameters (Modular):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 hash verification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oracle verification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notarization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Geolocation capture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fingerprint (future-ready)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vi42pdale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Use Case Examples: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digital identity credential is minted only after biometric verification and timestamp logging.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academic certificate is minted with embedded IPFS references and institutional signatures.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cloud resource access token is minted after fulfilling KYC requirements and regional compliance.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bo84htfq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Integration Pathways: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: Solidity/Rust smart contract instantiation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Systems</w:t>
      </w:r>
      <w:r w:rsidDel="00000000" w:rsidR="00000000" w:rsidRPr="00000000">
        <w:rPr>
          <w:rtl w:val="0"/>
        </w:rPr>
        <w:t xml:space="preserve">: API-triggered issuance on AWS, Azure, GCP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Systems</w:t>
      </w:r>
      <w:r w:rsidDel="00000000" w:rsidR="00000000" w:rsidRPr="00000000">
        <w:rPr>
          <w:rtl w:val="0"/>
        </w:rPr>
        <w:t xml:space="preserve">: ERP/CRM-triggered Mint Unit attached to user activity or permission logs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Governance Engines</w:t>
      </w:r>
      <w:r w:rsidDel="00000000" w:rsidR="00000000" w:rsidRPr="00000000">
        <w:rPr>
          <w:rtl w:val="0"/>
        </w:rPr>
        <w:t xml:space="preserve">: A model-generated action or prediction triggers minting of a validation requirement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vhq2bghre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🔢 Output: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Mint Unit ID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Chrono-Synaptic timestamp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metadata package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readiness signal (to trigger Validate Module)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Mint Module</w:t>
      </w:r>
      <w:r w:rsidDel="00000000" w:rsidR="00000000" w:rsidRPr="00000000">
        <w:rPr>
          <w:rtl w:val="0"/>
        </w:rPr>
        <w:t xml:space="preserve"> acts as the first node of truth in the Mint-to Logic™ framework. It defines the intent, structure, and validation pathways required to progress through the behavioral governance lifecycle.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pict>
        <v:shape id="WordPictureWatermark1" style="position:absolute;width:861.0103806228374pt;height:1296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