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4"/>
          <w:szCs w:val="34"/>
        </w:rPr>
      </w:pPr>
      <w:bookmarkStart w:colFirst="0" w:colLast="0" w:name="_jshvk9gsxgs0" w:id="0"/>
      <w:bookmarkEnd w:id="0"/>
      <w:r w:rsidDel="00000000" w:rsidR="00000000" w:rsidRPr="00000000">
        <w:rPr>
          <w:b w:val="1"/>
          <w:bCs w:val="1"/>
          <w:color w:val="000000"/>
          <w:sz w:val="34"/>
          <w:szCs w:val="34"/>
          <w:rtl w:val="0"/>
        </w:rPr>
        <w:t xml:space="preserve">Public Clarification of Intent and Interpretive Boundaries</w:t>
      </w:r>
    </w:p>
    <w:p w:rsidR="00000000" w:rsidDel="00000000" w:rsidP="00000000" w:rsidRDefault="00000000" w:rsidRPr="00000000" w14:paraId="00000002">
      <w:pPr>
        <w:spacing w:after="240" w:before="240" w:lineRule="auto"/>
        <w:rPr/>
      </w:pPr>
      <w:r w:rsidDel="00000000" w:rsidR="00000000" w:rsidRPr="00000000">
        <w:rPr>
          <w:rtl w:val="0"/>
        </w:rPr>
        <w:t xml:space="preserve">All prior posts, statements, declarations, and materials authored or published by me — in any medium or platform — should be understood as serving the interests, development, or contextual framing of Southern Star Pro Studios L.L.C. (SSPS). These materials were created with the intent of supporting, documenting, or advancing SSPS‑related concepts, infrastructure, or governance.</w:t>
      </w:r>
    </w:p>
    <w:p w:rsidR="00000000" w:rsidDel="00000000" w:rsidP="00000000" w:rsidRDefault="00000000" w:rsidRPr="00000000" w14:paraId="00000003">
      <w:pPr>
        <w:spacing w:after="240" w:before="240" w:lineRule="auto"/>
        <w:rPr/>
      </w:pPr>
      <w:r w:rsidDel="00000000" w:rsidR="00000000" w:rsidRPr="00000000">
        <w:rPr>
          <w:rtl w:val="0"/>
        </w:rPr>
        <w:t xml:space="preserve">No past post or statement should be interpreted as granting rights, permissions, authority, or governance over any component of the SSPS IP Stack. Any entity relying on or interpreting previous materials must seek clarification before asserting claims, assumptions, or positions regarding authorship, governance, licensing, or intent.</w:t>
      </w:r>
    </w:p>
    <w:p w:rsidR="00000000" w:rsidDel="00000000" w:rsidP="00000000" w:rsidRDefault="00000000" w:rsidRPr="00000000" w14:paraId="00000004">
      <w:pPr>
        <w:spacing w:after="240" w:before="240" w:lineRule="auto"/>
        <w:rPr/>
      </w:pPr>
      <w:r w:rsidDel="00000000" w:rsidR="00000000" w:rsidRPr="00000000">
        <w:rPr>
          <w:rtl w:val="0"/>
        </w:rPr>
        <w:t xml:space="preserve">This clarification is issued to ensure accurate interpretation, prevent misrepresentation, and maintain alignment with the sovereign governance boundaries established under the RBGA framework. All prior materials remain subject to the proprietary rights, licensing requirements, and governance declarations already published.</w:t>
      </w:r>
    </w:p>
    <w:p w:rsidR="00000000" w:rsidDel="00000000" w:rsidP="00000000" w:rsidRDefault="00000000" w:rsidRPr="00000000" w14:paraId="0000000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