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c61825zsba4" w:id="0"/>
      <w:bookmarkEnd w:id="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🏛️ SSPS COPYRIGHT VAULT – BEHAVIORAL DECLARATION SERIES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igfyv53ugm8e" w:id="1"/>
      <w:bookmarkEnd w:id="1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Volume 1, Entry No. 2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Title:</w:t>
      </w:r>
      <w:r w:rsidDel="00000000" w:rsidR="00000000" w:rsidRPr="00000000">
        <w:rPr>
          <w:rtl w:val="0"/>
        </w:rPr>
        <w:t xml:space="preserve"> ❤️ </w:t>
      </w:r>
      <w:r w:rsidDel="00000000" w:rsidR="00000000" w:rsidRPr="00000000">
        <w:rPr>
          <w:i w:val="1"/>
          <w:rtl w:val="0"/>
        </w:rPr>
        <w:t xml:space="preserve">Why the MIT License Is a Trojan Horse for IP Laundering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Author:</w:t>
      </w:r>
      <w:r w:rsidDel="00000000" w:rsidR="00000000" w:rsidRPr="00000000">
        <w:rPr>
          <w:rtl w:val="0"/>
        </w:rPr>
        <w:t xml:space="preserve"> Spencer Southern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Entity:</w:t>
      </w:r>
      <w:r w:rsidDel="00000000" w:rsidR="00000000" w:rsidRPr="00000000">
        <w:rPr>
          <w:rtl w:val="0"/>
        </w:rPr>
        <w:t xml:space="preserve"> Southern Star Pro. Studios LLC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Jurisdiction:</w:t>
      </w:r>
      <w:r w:rsidDel="00000000" w:rsidR="00000000" w:rsidRPr="00000000">
        <w:rPr>
          <w:rtl w:val="0"/>
        </w:rPr>
        <w:t xml:space="preserve"> Eliam Sovereign Infrastructure™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Vault ID:</w:t>
      </w:r>
      <w:r w:rsidDel="00000000" w:rsidR="00000000" w:rsidRPr="00000000">
        <w:rPr>
          <w:rtl w:val="0"/>
        </w:rPr>
        <w:t xml:space="preserve"> SSPS-VLT-MED-2025-02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a0d26dysioic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Included Sections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Vault Header &amp; Authentication Band</w:t>
        <w:br w:type="textWrapping"/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Black upper band with “SOUTHERN STAR PRO. STUDIOS LLC — ELIAM SOVEREIGN INFRASTRUCTURE™”</w:t>
        <w:br w:type="textWrapping"/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Right seal: “Unified Notice / RBGA Authority” emblem space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Metadata Registry Page</w:t>
        <w:br w:type="textWrapping"/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Title, publication date, Medium URL placeholder, cross-references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Vault lineage:</w:t>
        <w:br w:type="textWrapping"/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Entry No. 1 — MED-M2L-SCHOOLDEV-102325</w:t>
        <w:br w:type="textWrapping"/>
      </w:r>
    </w:p>
    <w:p w:rsidR="00000000" w:rsidDel="00000000" w:rsidP="00000000" w:rsidRDefault="00000000" w:rsidRPr="00000000" w14:paraId="0000000D">
      <w:pPr>
        <w:numPr>
          <w:ilvl w:val="2"/>
          <w:numId w:val="1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Entry No. 2 — MED-M2L-MITLAUNDER-102325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Public Declaration Summary</w:t>
        <w:br w:type="textWrapping"/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Condensed from the doctrinal exposition you just reviewed</w:t>
        <w:br w:type="textWrapping"/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Includes statement of intent: “This article establishes the Closed Sovereign Licensing Doctrine™ as countermeasure to permissive IP dilution.”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Forensic and Behavioral Analysis Section</w:t>
        <w:br w:type="textWrapping"/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Concept tables: “Trojan Horse for IP Laundering,” “Recursive Derivative Dilution,” “Behavioral Laundering through Semantics.”</w:t>
        <w:br w:type="textWrapping"/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Connective chart to Mint-to Logic™ and Shepherds Method™.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Legal and Strategic Positioning</w:t>
        <w:br w:type="textWrapping"/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Jurisdictional clauses under Eliam Sovereign Infrastructure™ and RBGA™</w:t>
        <w:br w:type="textWrapping"/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Copyright, Trademark, Patent, and Trade Secret coverage summary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Verification &amp; Signature Page</w:t>
        <w:br w:type="textWrapping"/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SHA-256 checksum placeholder</w:t>
        <w:br w:type="textWrapping"/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Timestamp verification note</w:t>
        <w:br w:type="textWrapping"/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Digital signature line (“Filed and Authored by Spencer Southern, under Southern Star Pro. Studios LLC”)</w:t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Cross-reference footer:</w:t>
        <w:br w:type="textWrapping"/>
        <w:br w:type="textWrapping"/>
        <w:br w:type="textWrapping"/>
        <w:t xml:space="preserve"> “This doctrinal record is part of the Closed Sovereign Licensing Doctrine™ lineage and establishes public timestamp precedence under Unified Notice.”</w:t>
        <w:br w:type="textWrapping"/>
        <w:br w:type="textWrapping"/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