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k1bqt1cvrwsa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SSPS Copyright Vault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ab5wg61d1os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Repo 1 Observation Report v0.1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i w:val="1"/>
          <w:color w:val="000000"/>
          <w:sz w:val="26"/>
          <w:szCs w:val="26"/>
        </w:rPr>
      </w:pPr>
      <w:bookmarkStart w:colFirst="0" w:colLast="0" w:name="_q0i0fa89bh7g" w:id="2"/>
      <w:bookmarkEnd w:id="2"/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(Mint-to-Logic™, RBGA™, Eliam™ Public IP Archive)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56x2cbnic4m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I. Repository Context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Repository ID:</w:t>
      </w:r>
      <w:r w:rsidDel="00000000" w:rsidR="00000000" w:rsidRPr="00000000">
        <w:rPr>
          <w:rtl w:val="0"/>
        </w:rPr>
        <w:t xml:space="preserve"> Repo 1 – Mint-to-Logic / RBGA / Eliam Ecosystem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Custodian:</w:t>
      </w:r>
      <w:r w:rsidDel="00000000" w:rsidR="00000000" w:rsidRPr="00000000">
        <w:rPr>
          <w:rtl w:val="0"/>
        </w:rPr>
        <w:t xml:space="preserve"> Spencer Southern / Southern Star Pro. Studios™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Vault Type:</w:t>
      </w:r>
      <w:r w:rsidDel="00000000" w:rsidR="00000000" w:rsidRPr="00000000">
        <w:rPr>
          <w:rtl w:val="0"/>
        </w:rPr>
        <w:t xml:space="preserve"> Public IP Observation Record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Date Range of Source Material:</w:t>
      </w:r>
      <w:r w:rsidDel="00000000" w:rsidR="00000000" w:rsidRPr="00000000">
        <w:rPr>
          <w:rtl w:val="0"/>
        </w:rPr>
        <w:t xml:space="preserve"> April 2025 – November 2025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Sources Reviewed: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RBGA Wix site screens (8 images)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Mint-to-Logic™ Wix site screen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Carrd 1 – </w:t>
      </w:r>
      <w:r w:rsidDel="00000000" w:rsidR="00000000" w:rsidRPr="00000000">
        <w:rPr>
          <w:i w:val="1"/>
          <w:rtl w:val="0"/>
        </w:rPr>
        <w:t xml:space="preserve">“Who Owns Cyberspace? | Eliam Sovereign Infrastructure™”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Carrd 2 – </w:t>
      </w:r>
      <w:r w:rsidDel="00000000" w:rsidR="00000000" w:rsidRPr="00000000">
        <w:rPr>
          <w:i w:val="1"/>
          <w:rtl w:val="0"/>
        </w:rPr>
        <w:t xml:space="preserve">“You Are Already Using Mint-to-Logic™”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record, without conclusion, the public notices, declarations, and observable system functions forming the initial layer of the Mint-to-Logic™ governance ecosystem.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9623bnmjurr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II. Observed Public Notices &amp; Declarations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5.8196721311475"/>
        <w:gridCol w:w="2148.1967213114754"/>
        <w:gridCol w:w="1011.7622950819671"/>
        <w:gridCol w:w="3155.1639344262294"/>
        <w:gridCol w:w="2479.05737704918"/>
        <w:tblGridChange w:id="0">
          <w:tblGrid>
            <w:gridCol w:w="565.8196721311475"/>
            <w:gridCol w:w="2148.1967213114754"/>
            <w:gridCol w:w="1011.7622950819671"/>
            <w:gridCol w:w="3155.1639344262294"/>
            <w:gridCol w:w="2479.0573770491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Notice Title /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 (if stated)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Language / Excerpt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Observed 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Unified Notice™ Jurisdictional IP Declaration (Carrd 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Apr 15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“Formal jurisdictional correction and public declaration of authorship and control over the Mint-to-Logic framework.”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Public authorship and control statement; timestamp marker for IP framework.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Timestamped IP Claim (Carrd 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Jul 8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“Claimed under Unified Notice™ IP framework.”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Chronological record for Mint-to-Logic™ and Stewarding System™.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Declaration of Governance (Carrd 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Lists protected mechanisms such as Mint-to-Burn™, Reflexive Governance™, ValiPass™, Shadow Units™, 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Defines scope of jurisdictional coverage under Unified Notice.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Terms of Use / Public Warning (Carrd 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“If your protocol uses behavioral validation… Licensing is not optional.”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Public licensing requirement and behavioral jurisdiction assertion.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Retroactive Licensing Clause (Carrd 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“Unwitting users may be eligible for foundational licensing privileges.”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Remedial licensing and integration path for unlicensed use.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Declaration of Sovereign Claim over Cyberspace (Carrd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Jul 12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“I declare a formal and legally binding sovereign claim to the entirety of cyberspace.”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Sovereign jurisdictional statement for Eliam™.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Eliam Genesis Protocol (Carrd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“Establishes the legal and behavioral framework for governing digital logic.”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Foundational charter for behavioral law in cyberspace.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Sovereign Filing Ledger ID (Carrd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“EL-GEN-PRO-001.”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Ledger identifier for Eliam Genesis record.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RBGA Public Presence (RBGA screens)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References BECS™, RSLL™, CSML™, Eliam™, Mint-to-Logic™.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Shows governance authority branding and functional ties.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Copyright Footer (All sources)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“© 2025 Spencer Southern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Southern Star Pro. Studios LLC.”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i4y6u2f5kmf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III. Functional Architecture (as Observed)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Core Lifecycle: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Mint → Validate → Burn</w:t>
        <w:br w:type="textWrapping"/>
      </w:r>
      <w:r w:rsidDel="00000000" w:rsidR="00000000" w:rsidRPr="00000000">
        <w:rPr>
          <w:rtl w:val="0"/>
        </w:rPr>
        <w:t xml:space="preserve"> Observed to define issuance, validation, and termination of digital credentials (“Mint Units™”).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Subsystems noted in materials: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RBGA™ – Behavioral oversight and governance body.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RSLL™ – Licensing logic structure.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BECS™ – Credential and behavior enforcement layer.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CSML™ – Metadata identity layer.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Eliam™ – Behavioral-law sovereign infrastructure.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Notice™ – Publication and timestamp mechanism for authorship claims.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Stewarding System™ – Licensing and audit framework.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systems are inter-referenced through public materials as components of one behavioral governance stack.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ii3bb1cd4zf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IV. Jurisdictional and Governance Claims (Observed Language)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Cyberspace defined as a governable non-physical realm under Eliam™.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Mint-to-Logic™ recognized as behavioral law standard within that realm.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Notice™ establishes timestamped public records of authorship.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RBGA™ appears as the regulatory authority within this model.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(All phrasing derived directly from public statements; no external interpretation applied.)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crxu7x88e6r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V. Branding and Terminology Index (Observed Marks)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Mint-to-Logic™, Unified Notice™, RBGA™, RSLL™, BECS™, CSML™, Eliam™, Stewarding System™, ValiPass™, Shepherd Coin™, Plasmatic Data Pulse™, Chrono-Synaptic Memory Ledger™, Mint-to-Burn™, Reflexive Governance™, Shadow Units™, Sovereign Filing Ledger ID EL-GEN-PRO-001.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ece8k7m19kf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VI. Strategic and Structural Notes (Observation Only)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materials consistently frame Mint-to-Logic™ as a behavioral governance standard rather than a software product.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Notice™ functions as both a publication method and a defensive timestamp system for authorship.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Eliam™ positions itself as jurisdictional context for behavioral law governing cyberspace.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RBGA™, RSLL™, and BECS™ operate as regulatory subsystems for licensing and ethical audit.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observed statements tie back to the concept of “sovereign behavioral infrastructure.”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9xlqusyomdr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VII. Update Log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v0.1 (Initial Compilation):</w:t>
      </w:r>
      <w:r w:rsidDel="00000000" w:rsidR="00000000" w:rsidRPr="00000000">
        <w:rPr>
          <w:rtl w:val="0"/>
        </w:rPr>
        <w:t xml:space="preserve"> Includes RBGA and Mint-to-Logic screens, Carrd 1 and Carrd 2 text.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entries will append new public notices, whitepapers, or declarations as they are uploaded.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t3v10u5cnaw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VIII. Status &amp; Handling Note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report is an </w:t>
      </w:r>
      <w:r w:rsidDel="00000000" w:rsidR="00000000" w:rsidRPr="00000000">
        <w:rPr>
          <w:b w:val="1"/>
          <w:rtl w:val="0"/>
        </w:rPr>
        <w:t xml:space="preserve">observational record</w:t>
      </w:r>
      <w:r w:rsidDel="00000000" w:rsidR="00000000" w:rsidRPr="00000000">
        <w:rPr>
          <w:rtl w:val="0"/>
        </w:rPr>
        <w:t xml:space="preserve"> within the SSPS Vault.</w:t>
        <w:br w:type="textWrapping"/>
        <w:t xml:space="preserve"> It makes no legal assertions or validations; it captures only what is publicly presented and declared in the uploaded materials.</w:t>
        <w:br w:type="textWrapping"/>
        <w:t xml:space="preserve"> Subsequent versions will update as new information is received from additional public-facing uploads (repos 2-n).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