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it. Here's a draft that explains the </w:t>
      </w:r>
      <w:r w:rsidDel="00000000" w:rsidR="00000000" w:rsidRPr="00000000">
        <w:rPr>
          <w:b w:val="1"/>
          <w:bCs w:val="1"/>
          <w:rtl w:val="0"/>
        </w:rPr>
        <w:t xml:space="preserve">pre-seeded 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encapsulated units</w:t>
      </w:r>
      <w:r w:rsidDel="00000000" w:rsidR="00000000" w:rsidRPr="00000000">
        <w:rPr>
          <w:rtl w:val="0"/>
        </w:rPr>
        <w:t xml:space="preserve"> within the Mint-to Logic™ and Interdimensional Data Transfer framework, grounded in your prior threads: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hrtesmekp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Pre-Seeded Data: Encapsulated Memory Units in Mint-to Logic™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architecture of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the concept of </w:t>
      </w:r>
      <w:r w:rsidDel="00000000" w:rsidR="00000000" w:rsidRPr="00000000">
        <w:rPr>
          <w:b w:val="1"/>
          <w:bCs w:val="1"/>
          <w:rtl w:val="0"/>
        </w:rPr>
        <w:t xml:space="preserve">pre-seeded data</w:t>
      </w:r>
      <w:r w:rsidDel="00000000" w:rsidR="00000000" w:rsidRPr="00000000">
        <w:rPr>
          <w:rtl w:val="0"/>
        </w:rPr>
        <w:t xml:space="preserve"> refers to encrypted, dormant units of information known as </w:t>
      </w:r>
      <w:r w:rsidDel="00000000" w:rsidR="00000000" w:rsidRPr="00000000">
        <w:rPr>
          <w:b w:val="1"/>
          <w:bCs w:val="1"/>
          <w:rtl w:val="0"/>
        </w:rPr>
        <w:t xml:space="preserve">Encapsulated Mint Units (EMUs)</w:t>
      </w:r>
      <w:r w:rsidDel="00000000" w:rsidR="00000000" w:rsidRPr="00000000">
        <w:rPr>
          <w:rtl w:val="0"/>
        </w:rPr>
        <w:t xml:space="preserve">. These units do not express their full value or meaning until they are </w:t>
      </w:r>
      <w:r w:rsidDel="00000000" w:rsidR="00000000" w:rsidRPr="00000000">
        <w:rPr>
          <w:b w:val="1"/>
          <w:bCs w:val="1"/>
          <w:rtl w:val="0"/>
        </w:rPr>
        <w:t xml:space="preserve">event-triggered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permissioned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cross-validated</w:t>
      </w:r>
      <w:r w:rsidDel="00000000" w:rsidR="00000000" w:rsidRPr="00000000">
        <w:rPr>
          <w:rtl w:val="0"/>
        </w:rPr>
        <w:t xml:space="preserve"> by a specific contextual or temporal condition. These EMUs may include traces of: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Reflexive Behavioral Logic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expiration cues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Environmental, biometric, or frequency-based validation states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Action-based memory (e.g. interaction, observation, or engagement triggers)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🧬 </w:t>
      </w:r>
      <w:r w:rsidDel="00000000" w:rsidR="00000000" w:rsidRPr="00000000">
        <w:rPr>
          <w:b w:val="1"/>
          <w:bCs w:val="1"/>
          <w:rtl w:val="0"/>
        </w:rPr>
        <w:t xml:space="preserve">“You cannot trace what is not there — but Mint-to Logic™ knows what should be.”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motto holds weight here: EMUs can carry latent data that </w:t>
      </w:r>
      <w:r w:rsidDel="00000000" w:rsidR="00000000" w:rsidRPr="00000000">
        <w:rPr>
          <w:b w:val="1"/>
          <w:bCs w:val="1"/>
          <w:rtl w:val="0"/>
        </w:rPr>
        <w:t xml:space="preserve">doesn’t exist in the observable layer</w:t>
      </w:r>
      <w:r w:rsidDel="00000000" w:rsidR="00000000" w:rsidRPr="00000000">
        <w:rPr>
          <w:rtl w:val="0"/>
        </w:rPr>
        <w:t xml:space="preserve"> of a system until it is </w:t>
      </w:r>
      <w:r w:rsidDel="00000000" w:rsidR="00000000" w:rsidRPr="00000000">
        <w:rPr>
          <w:b w:val="1"/>
          <w:bCs w:val="1"/>
          <w:rtl w:val="0"/>
        </w:rPr>
        <w:t xml:space="preserve">provoked into existence by logic-based governance or interdimensional validation cycles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jp8ea1uzr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Manifestation Triggers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unit can hold: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memory of an action</w:t>
      </w:r>
      <w:r w:rsidDel="00000000" w:rsidR="00000000" w:rsidRPr="00000000">
        <w:rPr>
          <w:rtl w:val="0"/>
        </w:rPr>
        <w:t xml:space="preserve">, such as a validated ticket scan, biometric signature, or temporal location.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fragment of encrypted knowledge</w:t>
      </w:r>
      <w:r w:rsidDel="00000000" w:rsidR="00000000" w:rsidRPr="00000000">
        <w:rPr>
          <w:rtl w:val="0"/>
        </w:rPr>
        <w:t xml:space="preserve">, such as a key to activate a secondary validation layer or a burn-on-use NFT.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entire behavior map</w:t>
      </w:r>
      <w:r w:rsidDel="00000000" w:rsidR="00000000" w:rsidRPr="00000000">
        <w:rPr>
          <w:rtl w:val="0"/>
        </w:rPr>
        <w:t xml:space="preserve">, encoded to respond differently depending on where and how it is summoned into action.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encapsulations </w:t>
      </w:r>
      <w:r w:rsidDel="00000000" w:rsidR="00000000" w:rsidRPr="00000000">
        <w:rPr>
          <w:b w:val="1"/>
          <w:bCs w:val="1"/>
          <w:rtl w:val="0"/>
        </w:rPr>
        <w:t xml:space="preserve">don’t activate simultaneously unless designed to</w:t>
      </w:r>
      <w:r w:rsidDel="00000000" w:rsidR="00000000" w:rsidRPr="00000000">
        <w:rPr>
          <w:rtl w:val="0"/>
        </w:rPr>
        <w:t xml:space="preserve"> — they can </w:t>
      </w:r>
      <w:r w:rsidDel="00000000" w:rsidR="00000000" w:rsidRPr="00000000">
        <w:rPr>
          <w:b w:val="1"/>
          <w:bCs w:val="1"/>
          <w:rtl w:val="0"/>
        </w:rPr>
        <w:t xml:space="preserve">unpack in sequence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across planes</w:t>
      </w:r>
      <w:r w:rsidDel="00000000" w:rsidR="00000000" w:rsidRPr="00000000">
        <w:rPr>
          <w:rtl w:val="0"/>
        </w:rPr>
        <w:t xml:space="preserve"> depending on user permissions, event outcomes, AI governance, or external triggers like light spectrum shifts, biometric reads, or quantum state calls.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5c3ase0lr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Multilayered Synchronization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Mint-to Logic™, pre-seeded data supports: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Plasmatic Data Pulses</w:t>
      </w:r>
      <w:r w:rsidDel="00000000" w:rsidR="00000000" w:rsidRPr="00000000">
        <w:rPr>
          <w:rtl w:val="0"/>
        </w:rPr>
        <w:t xml:space="preserve"> — where cross-dimensional sync points (time, event, or validation state) trigger latent data sets into active, transactional data.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Clockchain-Based Behaviors</w:t>
      </w:r>
      <w:r w:rsidDel="00000000" w:rsidR="00000000" w:rsidRPr="00000000">
        <w:rPr>
          <w:rtl w:val="0"/>
        </w:rPr>
        <w:t xml:space="preserve"> — temporal sequencing of access, interaction, or self-destruction.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Superhighway Alignment</w:t>
      </w:r>
      <w:r w:rsidDel="00000000" w:rsidR="00000000" w:rsidRPr="00000000">
        <w:rPr>
          <w:rtl w:val="0"/>
        </w:rPr>
        <w:t xml:space="preserve"> — for instant repositioning of data packets across trustless domains, with ethical logic gates governing release and reformation.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</w:t>
      </w:r>
      <w:r w:rsidDel="00000000" w:rsidR="00000000" w:rsidRPr="00000000">
        <w:rPr>
          <w:b w:val="1"/>
          <w:bCs w:val="1"/>
          <w:rtl w:val="0"/>
        </w:rPr>
        <w:t xml:space="preserve">breaks legacy architecture bottlenecks</w:t>
      </w:r>
      <w:r w:rsidDel="00000000" w:rsidR="00000000" w:rsidRPr="00000000">
        <w:rPr>
          <w:rtl w:val="0"/>
        </w:rPr>
        <w:t xml:space="preserve"> by ensuring that </w:t>
      </w:r>
      <w:r w:rsidDel="00000000" w:rsidR="00000000" w:rsidRPr="00000000">
        <w:rPr>
          <w:b w:val="1"/>
          <w:bCs w:val="1"/>
          <w:rtl w:val="0"/>
        </w:rPr>
        <w:t xml:space="preserve">sensitive data, access, and identity are not just encrypted—but distributed, untethered, and self-governed</w:t>
      </w:r>
      <w:r w:rsidDel="00000000" w:rsidR="00000000" w:rsidRPr="00000000">
        <w:rPr>
          <w:rtl w:val="0"/>
        </w:rPr>
        <w:t xml:space="preserve"> by logic-layer protocols. The information </w:t>
      </w:r>
      <w:r w:rsidDel="00000000" w:rsidR="00000000" w:rsidRPr="00000000">
        <w:rPr>
          <w:b w:val="1"/>
          <w:bCs w:val="1"/>
          <w:rtl w:val="0"/>
        </w:rPr>
        <w:t xml:space="preserve">cannot be hacked</w:t>
      </w:r>
      <w:r w:rsidDel="00000000" w:rsidR="00000000" w:rsidRPr="00000000">
        <w:rPr>
          <w:rtl w:val="0"/>
        </w:rPr>
        <w:t xml:space="preserve"> or used without proper triggers — because in observable terms, it </w:t>
      </w:r>
      <w:r w:rsidDel="00000000" w:rsidR="00000000" w:rsidRPr="00000000">
        <w:rPr>
          <w:b w:val="1"/>
          <w:bCs w:val="1"/>
          <w:rtl w:val="0"/>
        </w:rPr>
        <w:t xml:space="preserve">doesn’t yet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formatted as part of a technical whitepaper or embedded in the Interdimensional Data Transfer writeup?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/>
      <w:pict>
        <v:shape id="WordPictureWatermark1" style="position:absolute;width:861.0103806228374pt;height:1296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