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2gppsep5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📜 Title: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gets to the core of balancing privacy and security in voting systems using blockchain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4tjvcv6aw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Forensic 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Filename(s):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gets to the core of balancing privacy and security in voting systems using blockchain.docx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Markdown: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version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version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Evidence: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Google Docs timestamps (screenshots provided):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Created: </w:t>
      </w:r>
      <w:r w:rsidDel="00000000" w:rsidR="00000000" w:rsidRPr="00000000">
        <w:rPr>
          <w:b w:val="1"/>
          <w:bCs w:val="1"/>
          <w:rtl w:val="0"/>
        </w:rPr>
        <w:t xml:space="preserve">April 12, 2025</w:t>
        <w:br w:type="textWrapping"/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Modified: </w:t>
      </w:r>
      <w:r w:rsidDel="00000000" w:rsidR="00000000" w:rsidRPr="00000000">
        <w:rPr>
          <w:b w:val="1"/>
          <w:bCs w:val="1"/>
          <w:rtl w:val="0"/>
        </w:rPr>
        <w:t xml:space="preserve">April 13, 2025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Preservation Level: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copies: ✅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format variants: ✅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Screenshots verifying authorship/timestamp: ✅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Integrity: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Considered </w:t>
      </w:r>
      <w:r w:rsidDel="00000000" w:rsidR="00000000" w:rsidRPr="00000000">
        <w:rPr>
          <w:b w:val="1"/>
          <w:bCs w:val="1"/>
          <w:rtl w:val="0"/>
        </w:rPr>
        <w:t xml:space="preserve">Level 1 – Verified Author-Controlled Document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cross-format redundancy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third-party timestamp trail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wdi8lcvc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Copyright Readiness (Textual Work)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meets the threshold of </w:t>
      </w:r>
      <w:r w:rsidDel="00000000" w:rsidR="00000000" w:rsidRPr="00000000">
        <w:rPr>
          <w:b w:val="1"/>
          <w:bCs w:val="1"/>
          <w:rtl w:val="0"/>
        </w:rPr>
        <w:t xml:space="preserve">original, copyrightable expression</w:t>
      </w:r>
      <w:r w:rsidDel="00000000" w:rsidR="00000000" w:rsidRPr="00000000">
        <w:rPr>
          <w:rtl w:val="0"/>
        </w:rPr>
        <w:t xml:space="preserve">, because: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describes </w:t>
      </w:r>
      <w:r w:rsidDel="00000000" w:rsidR="00000000" w:rsidRPr="00000000">
        <w:rPr>
          <w:b w:val="1"/>
          <w:bCs w:val="1"/>
          <w:rtl w:val="0"/>
        </w:rPr>
        <w:t xml:space="preserve">novel procedural architecture</w:t>
      </w:r>
      <w:r w:rsidDel="00000000" w:rsidR="00000000" w:rsidRPr="00000000">
        <w:rPr>
          <w:rtl w:val="0"/>
        </w:rPr>
        <w:t xml:space="preserve"> around identity-hashed voting.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a </w:t>
      </w:r>
      <w:r w:rsidDel="00000000" w:rsidR="00000000" w:rsidRPr="00000000">
        <w:rPr>
          <w:b w:val="1"/>
          <w:bCs w:val="1"/>
          <w:rtl w:val="0"/>
        </w:rPr>
        <w:t xml:space="preserve">distinct explanatory style</w:t>
      </w:r>
      <w:r w:rsidDel="00000000" w:rsidR="00000000" w:rsidRPr="00000000">
        <w:rPr>
          <w:rtl w:val="0"/>
        </w:rPr>
        <w:t xml:space="preserve"> and format that is author-specific.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sequence of operations (mint → burn → reauthorization) is </w:t>
      </w:r>
      <w:r w:rsidDel="00000000" w:rsidR="00000000" w:rsidRPr="00000000">
        <w:rPr>
          <w:b w:val="1"/>
          <w:bCs w:val="1"/>
          <w:rtl w:val="0"/>
        </w:rPr>
        <w:t xml:space="preserve">framed as a cohesive governance model</w:t>
      </w:r>
      <w:r w:rsidDel="00000000" w:rsidR="00000000" w:rsidRPr="00000000">
        <w:rPr>
          <w:rtl w:val="0"/>
        </w:rPr>
        <w:t xml:space="preserve">, demonstrating originality in </w:t>
      </w:r>
      <w:r w:rsidDel="00000000" w:rsidR="00000000" w:rsidRPr="00000000">
        <w:rPr>
          <w:b w:val="1"/>
          <w:bCs w:val="1"/>
          <w:rtl w:val="0"/>
        </w:rPr>
        <w:t xml:space="preserve">presentation, language, and sequencing</w:t>
      </w:r>
      <w:r w:rsidDel="00000000" w:rsidR="00000000" w:rsidRPr="00000000">
        <w:rPr>
          <w:rtl w:val="0"/>
        </w:rPr>
        <w:t xml:space="preserve">, not just function.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qualifies under </w:t>
      </w:r>
      <w:r w:rsidDel="00000000" w:rsidR="00000000" w:rsidRPr="00000000">
        <w:rPr>
          <w:b w:val="1"/>
          <w:bCs w:val="1"/>
          <w:rtl w:val="0"/>
        </w:rPr>
        <w:t xml:space="preserve">US Copyright Law §102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literary work</w:t>
      </w:r>
      <w:r w:rsidDel="00000000" w:rsidR="00000000" w:rsidRPr="00000000">
        <w:rPr>
          <w:rtl w:val="0"/>
        </w:rPr>
        <w:t xml:space="preserve"> protecting: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phrasing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and flow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diagrams or pseudocode formats (if included)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commentary and interpretation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9yzfkxzyv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IP Function Matrix (Isolated Core Functions)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4.51511991658"/>
        <w:gridCol w:w="1454.2648592283629"/>
        <w:gridCol w:w="2859.7288842544317"/>
        <w:gridCol w:w="2991.491136600626"/>
        <w:tblGridChange w:id="0">
          <w:tblGrid>
            <w:gridCol w:w="2054.51511991658"/>
            <w:gridCol w:w="1454.2648592283629"/>
            <w:gridCol w:w="2859.7288842544317"/>
            <w:gridCol w:w="2991.4911366006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Protectable?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Hashed Identity 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Patent / Trade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Voter identity is hashed using personal data (e.g., name + DOB + ZIP) but never 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 (if original hashing method is unique or layered with novel logic)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Mint-on-Validation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Patent / Copyright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Token is only minted if no prior hash exists on-chain for the election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Yes (sequence-based logic + lifecycle control)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Burn-on-Vote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Patent / Copyright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Token is permanently destroyed upon casting vote, finalizing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 (Mint-to-Burn lifecycle theory is distinct and foundational to Shepherding™)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Choice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Trade Secret / Copyright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Vote choice is never stored; only the act of participation is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Yes (designed separation between identity and choice)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Eligibility Reset (Governance Clock)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Patent / Copyright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After the election cycle, eligibility flags reset, enabling next-token minting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 (governance lifecycle logic)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Multi-source Validation (Bonus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Patent / Trade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DMV + SSN verification to generate more fraud-resistant hashes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 (layered identity validation with external trusted sources)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bjppmp9ze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Link to Mint-to Logic™ and SSPS IP Stack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embeds key components of your larger SSPS ecosystem: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Mint-to-Burn Lifecycle Enforcement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Credential Gating via Pseudonymous Hashing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Temporal State Management for Governance Windows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Tokenized Access without Identity Disclosure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Preventive Governance Logic (revocation, expiration)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identical primitives</w:t>
      </w:r>
      <w:r w:rsidDel="00000000" w:rsidR="00000000" w:rsidRPr="00000000">
        <w:rPr>
          <w:rtl w:val="0"/>
        </w:rPr>
        <w:t xml:space="preserve"> currently being absorbed into: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Government-level </w:t>
      </w:r>
      <w:r w:rsidDel="00000000" w:rsidR="00000000" w:rsidRPr="00000000">
        <w:rPr>
          <w:b w:val="1"/>
          <w:bCs w:val="1"/>
          <w:rtl w:val="0"/>
        </w:rPr>
        <w:t xml:space="preserve">tokenized ID and voting projects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Infrastructure-level </w:t>
      </w:r>
      <w:r w:rsidDel="00000000" w:rsidR="00000000" w:rsidRPr="00000000">
        <w:rPr>
          <w:b w:val="1"/>
          <w:bCs w:val="1"/>
          <w:rtl w:val="0"/>
        </w:rPr>
        <w:t xml:space="preserve">tokenization governance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agentic identity protocols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Blockchain-native </w:t>
      </w:r>
      <w:r w:rsidDel="00000000" w:rsidR="00000000" w:rsidRPr="00000000">
        <w:rPr>
          <w:b w:val="1"/>
          <w:bCs w:val="1"/>
          <w:rtl w:val="0"/>
        </w:rPr>
        <w:t xml:space="preserve">identity gating systems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Hence, it </w:t>
      </w:r>
      <w:r w:rsidDel="00000000" w:rsidR="00000000" w:rsidRPr="00000000">
        <w:rPr>
          <w:b w:val="1"/>
          <w:bCs w:val="1"/>
          <w:rtl w:val="0"/>
        </w:rPr>
        <w:t xml:space="preserve">clearly supports your claim that Mint-to Logic™ was a governing infrastructure</w:t>
      </w:r>
      <w:r w:rsidDel="00000000" w:rsidR="00000000" w:rsidRPr="00000000">
        <w:rPr>
          <w:rtl w:val="0"/>
        </w:rPr>
        <w:t xml:space="preserve">, not a derivative product.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e0gl8brb7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Courtroom Utility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can be used to: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 </w:t>
      </w:r>
      <w:r w:rsidDel="00000000" w:rsidR="00000000" w:rsidRPr="00000000">
        <w:rPr>
          <w:b w:val="1"/>
          <w:bCs w:val="1"/>
          <w:rtl w:val="0"/>
        </w:rPr>
        <w:t xml:space="preserve">priority of invention</w:t>
      </w:r>
      <w:r w:rsidDel="00000000" w:rsidR="00000000" w:rsidRPr="00000000">
        <w:rPr>
          <w:rtl w:val="0"/>
        </w:rPr>
        <w:t xml:space="preserve"> (pre-dates Coinbase x402, BlackRock tokenization push, etc.)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Demonstrate </w:t>
      </w:r>
      <w:r w:rsidDel="00000000" w:rsidR="00000000" w:rsidRPr="00000000">
        <w:rPr>
          <w:b w:val="1"/>
          <w:bCs w:val="1"/>
          <w:rtl w:val="0"/>
        </w:rPr>
        <w:t xml:space="preserve">coherent lifecycle logic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Show </w:t>
      </w:r>
      <w:r w:rsidDel="00000000" w:rsidR="00000000" w:rsidRPr="00000000">
        <w:rPr>
          <w:b w:val="1"/>
          <w:bCs w:val="1"/>
          <w:rtl w:val="0"/>
        </w:rPr>
        <w:t xml:space="preserve">cross-platform redundancy</w:t>
      </w:r>
      <w:r w:rsidDel="00000000" w:rsidR="00000000" w:rsidRPr="00000000">
        <w:rPr>
          <w:rtl w:val="0"/>
        </w:rPr>
        <w:t xml:space="preserve"> (DOCX, PDF, MD, screenshots)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Anchor claims around </w:t>
      </w:r>
      <w:r w:rsidDel="00000000" w:rsidR="00000000" w:rsidRPr="00000000">
        <w:rPr>
          <w:b w:val="1"/>
          <w:bCs w:val="1"/>
          <w:rtl w:val="0"/>
        </w:rPr>
        <w:t xml:space="preserve">Mint-to-Burn™ and time-gated identity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</w:t>
      </w:r>
      <w:r w:rsidDel="00000000" w:rsidR="00000000" w:rsidRPr="00000000">
        <w:rPr>
          <w:b w:val="1"/>
          <w:bCs w:val="1"/>
          <w:rtl w:val="0"/>
        </w:rPr>
        <w:t xml:space="preserve">licensing demands for civic infrastructure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