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7u8nxqbnk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DEFENSIVE DISCLOSURE: MINT-TO LOGIC™ INFRASTRUCTURE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Spencer Southern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Entity:</w:t>
      </w:r>
      <w:r w:rsidDel="00000000" w:rsidR="00000000" w:rsidRPr="00000000">
        <w:rPr>
          <w:rtl w:val="0"/>
        </w:rPr>
        <w:t xml:space="preserve"> Southern Star Pro. Studios L.L.C.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Disclosure Date:</w:t>
      </w:r>
      <w:r w:rsidDel="00000000" w:rsidR="00000000" w:rsidRPr="00000000">
        <w:rPr>
          <w:rtl w:val="0"/>
        </w:rPr>
        <w:t xml:space="preserve"> [Insert today’s date]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Public Defensive Disclosure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[Website / GitHub / Academic Repo / Medium / Public Archive]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Spencer@MintToLogic.com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https://spencersouthern12.wixsite.com/mint-to-logic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cbpwd9etx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Abstract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formally discloses a post-quantum capable, logic-native infrastructure titled </w:t>
      </w:r>
      <w:r w:rsidDel="00000000" w:rsidR="00000000" w:rsidRPr="00000000">
        <w:rPr>
          <w:b w:val="1"/>
          <w:bCs w:val="1"/>
          <w:rtl w:val="0"/>
        </w:rPr>
        <w:t xml:space="preserve">Mint-to Logic™</w:t>
      </w:r>
      <w:r w:rsidDel="00000000" w:rsidR="00000000" w:rsidRPr="00000000">
        <w:rPr>
          <w:rtl w:val="0"/>
        </w:rPr>
        <w:t xml:space="preserve">, designed to govern digital and physical transactions through behavioral lifecycle validation protocols. The system introduces novel protocol families—Mint-to-Burn, Mint-to-Limbo, Reflex Governance, Shadow Logic, and the Chrono-Synaptic Memory Ledger™—each enabling verifiable user interaction, credential lifecycle control, and logic-based identity authentication without reliance on blockchain or static biometric storage.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mfo49v8pm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Protocol Families and Descriptions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k31uuavzw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Mint-to-Burn Protocol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lifecycle-based validation mechanism that </w:t>
      </w:r>
      <w:r w:rsidDel="00000000" w:rsidR="00000000" w:rsidRPr="00000000">
        <w:rPr>
          <w:b w:val="1"/>
          <w:bCs w:val="1"/>
          <w:rtl w:val="0"/>
        </w:rPr>
        <w:t xml:space="preserve">mints a digital credential at initiation</w:t>
      </w:r>
      <w:r w:rsidDel="00000000" w:rsidR="00000000" w:rsidRPr="00000000">
        <w:rPr>
          <w:rtl w:val="0"/>
        </w:rPr>
        <w:t xml:space="preserve">, tracks its use across defined interactions, and </w:t>
      </w:r>
      <w:r w:rsidDel="00000000" w:rsidR="00000000" w:rsidRPr="00000000">
        <w:rPr>
          <w:b w:val="1"/>
          <w:bCs w:val="1"/>
          <w:rtl w:val="0"/>
        </w:rPr>
        <w:t xml:space="preserve">burns (expires or invalidates)</w:t>
      </w:r>
      <w:r w:rsidDel="00000000" w:rsidR="00000000" w:rsidRPr="00000000">
        <w:rPr>
          <w:rtl w:val="0"/>
        </w:rPr>
        <w:t xml:space="preserve"> it once the lifecycle is complete. Burn logic may be time-based, event-driven, or behavior-governed.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ticketing systems, digital product access, single-use credentialing, temporary event passes.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ewuie6bti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Mint-to-Limbo Protocol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protocol temporarily holds a minted credential in a </w:t>
      </w:r>
      <w:r w:rsidDel="00000000" w:rsidR="00000000" w:rsidRPr="00000000">
        <w:rPr>
          <w:b w:val="1"/>
          <w:bCs w:val="1"/>
          <w:rtl w:val="0"/>
        </w:rPr>
        <w:t xml:space="preserve">“limbo” state</w:t>
      </w:r>
      <w:r w:rsidDel="00000000" w:rsidR="00000000" w:rsidRPr="00000000">
        <w:rPr>
          <w:rtl w:val="0"/>
        </w:rPr>
        <w:t xml:space="preserve"> pending secondary validation. It is not considered active until verified by a user, observer, or behavioral checkpoint. Data in limbo may be time-sensitive and is automatically destroyed if unused within a defined window.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voter ID verification, emergency access control, onboarding with time delay security.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fwkkez5wz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Reflex Governance Layer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logic-based control layer where </w:t>
      </w:r>
      <w:r w:rsidDel="00000000" w:rsidR="00000000" w:rsidRPr="00000000">
        <w:rPr>
          <w:b w:val="1"/>
          <w:bCs w:val="1"/>
          <w:rtl w:val="0"/>
        </w:rPr>
        <w:t xml:space="preserve">systems dynamically respond to user behavior</w:t>
      </w:r>
      <w:r w:rsidDel="00000000" w:rsidR="00000000" w:rsidRPr="00000000">
        <w:rPr>
          <w:rtl w:val="0"/>
        </w:rPr>
        <w:t xml:space="preserve"> by minting, revoking, extending, or altering access permissions. Inputs may include physical actions, device behaviors, time signatures, or cross-network authentication signals.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AI behavioral alignment, zero-trust security models, adaptive permissions.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bzznrc9us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Chrono-Synaptic Memory Ledger™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non-blockchain, time-sensitive memory record that </w:t>
      </w:r>
      <w:r w:rsidDel="00000000" w:rsidR="00000000" w:rsidRPr="00000000">
        <w:rPr>
          <w:b w:val="1"/>
          <w:bCs w:val="1"/>
          <w:rtl w:val="0"/>
        </w:rPr>
        <w:t xml:space="preserve">captures state transitions across time</w:t>
      </w:r>
      <w:r w:rsidDel="00000000" w:rsidR="00000000" w:rsidRPr="00000000">
        <w:rPr>
          <w:rtl w:val="0"/>
        </w:rPr>
        <w:t xml:space="preserve">, tied to individual data units or credentials. It resembles a neuronal memory model with synaptic-like connections, allowing historic recall of state transitions for auditing and rollback.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fraud forensics, recursive validation, access anomaly tracking.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hvmalitj7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Shadow Logic / Interdimensional Data Pathways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conceptual protection and routing layer where </w:t>
      </w:r>
      <w:r w:rsidDel="00000000" w:rsidR="00000000" w:rsidRPr="00000000">
        <w:rPr>
          <w:b w:val="1"/>
          <w:bCs w:val="1"/>
          <w:rtl w:val="0"/>
        </w:rPr>
        <w:t xml:space="preserve">data is obfuscated and fragmented</w:t>
      </w:r>
      <w:r w:rsidDel="00000000" w:rsidR="00000000" w:rsidRPr="00000000">
        <w:rPr>
          <w:rtl w:val="0"/>
        </w:rPr>
        <w:t xml:space="preserve"> into unusable patterns (e.g., colors, sounds, shapes) and </w:t>
      </w:r>
      <w:r w:rsidDel="00000000" w:rsidR="00000000" w:rsidRPr="00000000">
        <w:rPr>
          <w:b w:val="1"/>
          <w:bCs w:val="1"/>
          <w:rtl w:val="0"/>
        </w:rPr>
        <w:t xml:space="preserve">passed through multiple random, encrypted pathways.</w:t>
      </w:r>
      <w:r w:rsidDel="00000000" w:rsidR="00000000" w:rsidRPr="00000000">
        <w:rPr>
          <w:rtl w:val="0"/>
        </w:rPr>
        <w:t xml:space="preserve"> Only a separate, externally held key can reassemble the original form.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anti-reverse-engineering, classified identity handling, biological-digital data bridges, quantum-safe privacy layers.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aehfqp0k0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Novelty and Technical Differentiation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Mint-to Logic™ does </w:t>
      </w:r>
      <w:r w:rsidDel="00000000" w:rsidR="00000000" w:rsidRPr="00000000">
        <w:rPr>
          <w:b w:val="1"/>
          <w:bCs w:val="1"/>
          <w:rtl w:val="0"/>
        </w:rPr>
        <w:t xml:space="preserve">not rely on traditional blockchain</w:t>
      </w:r>
      <w:r w:rsidDel="00000000" w:rsidR="00000000" w:rsidRPr="00000000">
        <w:rPr>
          <w:rtl w:val="0"/>
        </w:rPr>
        <w:t xml:space="preserve">, centralized servers, or biometric-only validation. Instead, it uses: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 protocols with native burn cycles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Behavior-governed event triggering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global ledger requirement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time-window credentials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AI-interfacing logic systems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existing infrastructure in current public patents fully replicates the scope or structure of Mint-to Logic™’s protocol families.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lczaul7zu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Intended Use Vertical Applications</w:t>
      </w:r>
    </w:p>
    <w:tbl>
      <w:tblPr>
        <w:tblStyle w:val="Table1"/>
        <w:tblW w:w="8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5735"/>
        <w:tblGridChange w:id="0">
          <w:tblGrid>
            <w:gridCol w:w="2525"/>
            <w:gridCol w:w="5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Voting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Secure hybrid paper/digital ballots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Ticketing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Anti-scalping, verified resale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Temporary, behavior-authenticated credentials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Healthcare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Time-locked emergency data access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Military &amp; Government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Burn-on-use or situational access protocols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AI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Behavior-triggered reflex cycles for aligned AI responses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Creative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QR-bound media gating and product integration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Economic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Tamper-proof voucher and fraud-prevention systems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uxg39fblp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Claim of Originality and Disclosure Intent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publicly released for the purpose of establishing prior art and </w:t>
      </w:r>
      <w:r w:rsidDel="00000000" w:rsidR="00000000" w:rsidRPr="00000000">
        <w:rPr>
          <w:b w:val="1"/>
          <w:bCs w:val="1"/>
          <w:rtl w:val="0"/>
        </w:rPr>
        <w:t xml:space="preserve">blocking unauthorized patent filings</w:t>
      </w:r>
      <w:r w:rsidDel="00000000" w:rsidR="00000000" w:rsidRPr="00000000">
        <w:rPr>
          <w:rtl w:val="0"/>
        </w:rPr>
        <w:t xml:space="preserve"> of these methods by third parties.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I, Spencer Southern, hereby disclose the full conceptual framework and function of the Mint-to Logic™ infrastructure and its associated protocols as of the date listed above. This document is intended to serve as a formal defensive publication to preserve the novelty and public access to these inventions.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5maffgl2q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License Availability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Southern Star Pro. Studios L.L.C. offers licensing opportunities for commercial, government, or research-based applications of the Mint-to Logic™ protocols.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licensing inquiries or strategic partnerships, contact:</w:t>
        <w:br w:type="textWrapping"/>
        <w:t xml:space="preserve"> 📧 Spencer@MintToLogic.com</w:t>
        <w:br w:type="textWrapping"/>
        <w:t xml:space="preserve"> 📍 Southern Star Pro. Studios L.L.C.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qjxhlmcnn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Optional Next Steps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document can be published to: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ArXiv or OSF.io</w:t>
      </w:r>
      <w:r w:rsidDel="00000000" w:rsidR="00000000" w:rsidRPr="00000000">
        <w:rPr>
          <w:rtl w:val="0"/>
        </w:rPr>
        <w:t xml:space="preserve"> (Open Science Framework)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Medium.com</w:t>
      </w:r>
      <w:r w:rsidDel="00000000" w:rsidR="00000000" w:rsidRPr="00000000">
        <w:rPr>
          <w:rtl w:val="0"/>
        </w:rPr>
        <w:t xml:space="preserve"> with a date-stamped URL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Wikiversity / IPFS / GitHub public repo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Defensive Publications Journal</w:t>
      </w:r>
      <w:r w:rsidDel="00000000" w:rsidR="00000000" w:rsidRPr="00000000">
        <w:rPr>
          <w:rtl w:val="0"/>
        </w:rPr>
        <w:t xml:space="preserve"> (via IP.com or similar)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/>
      <w:pict>
        <v:shape id="WordPictureWatermark1" style="position:absolute;width:395.964461994077pt;height:648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