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rgdxygnsf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Timestamp Discrepancy: Metadata vs Claimed Origin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ia0bmtzrex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Metadata Timestamp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Published 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July 14, 2025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Visive.ai – Sovereign AI Report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rtl w:val="0"/>
        </w:rPr>
        <w:t xml:space="preserve">actual publication date</w:t>
      </w:r>
      <w:r w:rsidDel="00000000" w:rsidR="00000000" w:rsidRPr="00000000">
        <w:rPr>
          <w:rtl w:val="0"/>
        </w:rPr>
        <w:t xml:space="preserve"> encoded in the page metadata and visible in the header.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025s02xpum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Claimed Origin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article states:</w:t>
        <w:br w:type="textWrapping"/>
        <w:t xml:space="preserve">“In late 2023, Nvidia CEO Jensen Huang introduced the concept of ‘sovereign AI’…”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retroactive claim</w:t>
      </w:r>
      <w:r w:rsidDel="00000000" w:rsidR="00000000" w:rsidRPr="00000000">
        <w:rPr>
          <w:rtl w:val="0"/>
        </w:rPr>
        <w:t xml:space="preserve"> is not supported by: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public whitepaper, press release, or GitHub repo from 2023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NVIDIA’s official blog archive or GTC 2023 transcripts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The 2023 reference is a </w:t>
      </w:r>
      <w:r w:rsidDel="00000000" w:rsidR="00000000" w:rsidRPr="00000000">
        <w:rPr>
          <w:b w:val="1"/>
          <w:rtl w:val="0"/>
        </w:rPr>
        <w:t xml:space="preserve">semantic laundering tactic</w:t>
      </w:r>
      <w:r w:rsidDel="00000000" w:rsidR="00000000" w:rsidRPr="00000000">
        <w:rPr>
          <w:rtl w:val="0"/>
        </w:rPr>
        <w:t xml:space="preserve"> — inserted into a 2025 publication to simulate early authorship.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lzs0v5mqw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Forensic Signals of Backdating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7.2611464968154"/>
        <w:gridCol w:w="5310.955414012738"/>
        <w:gridCol w:w="2061.7834394904457"/>
        <w:tblGridChange w:id="0">
          <w:tblGrid>
            <w:gridCol w:w="1987.2611464968154"/>
            <w:gridCol w:w="5310.955414012738"/>
            <w:gridCol w:w="2061.78343949044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2023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article’s metadata confirms July 2025 as the true publication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Timestamp laundering attempt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2023 corroboration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 matching NVIDIA blog, keynote, or repo from 2023 mentions “sovereign AI”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Fabricated origin claim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Narrative layering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article uses phrases like “began peddling a new idea” and “called it sovereign AI” — but only in retrospective 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Post-hoc narrative grafting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zrbpt2y10k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“NVIDIA’s Sovereign AI whitepaper was published July 14, 2025. Its claim that Jensen Huang introduced the concept in 2023 is unsupported by metadata or public artifacts — confirming post-hoc narrative layering and timestamp laundering.”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timestamp discrepancy?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Visive.ai – Sovereign AI Report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