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tos6531gtve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🔗 Spendzar evolution Matrix: Spencer Southern’s Authored Infrastructure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From Spendzar™ to Sovereign AI Enforcement (2023–2025)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6.0669456066945"/>
        <w:gridCol w:w="3074.3096234309623"/>
        <w:gridCol w:w="3309.2887029288704"/>
        <w:gridCol w:w="2090.334728033473"/>
        <w:tblGridChange w:id="0">
          <w:tblGrid>
            <w:gridCol w:w="886.0669456066945"/>
            <w:gridCol w:w="3074.3096234309623"/>
            <w:gridCol w:w="3309.2887029288704"/>
            <w:gridCol w:w="2090.334728033473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📅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🧱 Internal Evolution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🔄 External Mirror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🔐 Claim Implication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Jan–Feb 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rtl w:val="0"/>
              </w:rPr>
              <w:t xml:space="preserve">Spendzar™ initiated</w:t>
            </w:r>
            <w:r w:rsidDel="00000000" w:rsidR="00000000" w:rsidRPr="00000000">
              <w:rPr>
                <w:rtl w:val="0"/>
              </w:rPr>
              <w:t xml:space="preserve">: Tkinter-based app with reflexive logic (withdraw, deposit, user control, agentic logic). Interface requests visual workflow and donations; fee system modeled.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 known mirrors at this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📍 Authorship anchored: UI logic, reflexivity, credential-bound transactions.</w:t>
            </w:r>
          </w:p>
        </w:tc>
      </w:tr>
      <w:tr>
        <w:trPr>
          <w:cantSplit w:val="0"/>
          <w:trHeight w:val="19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Mar–Jun 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Expansion of Spendzar™ concepts into </w:t>
            </w:r>
            <w:r w:rsidDel="00000000" w:rsidR="00000000" w:rsidRPr="00000000">
              <w:rPr>
                <w:b w:val="1"/>
                <w:rtl w:val="0"/>
              </w:rPr>
              <w:t xml:space="preserve">governed workflow design</w:t>
            </w:r>
            <w:r w:rsidDel="00000000" w:rsidR="00000000" w:rsidRPr="00000000">
              <w:rPr>
                <w:rtl w:val="0"/>
              </w:rPr>
              <w:t xml:space="preserve">, pushing/pulling data and triggering user-based actions. Starts forming core cadence.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None yet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📍 Earliest design trajectory toward agentic governance.</w:t>
            </w:r>
          </w:p>
        </w:tc>
      </w:tr>
      <w:tr>
        <w:trPr>
          <w:cantSplit w:val="0"/>
          <w:trHeight w:val="16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Jul–Oct 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First documents referencing early </w:t>
            </w:r>
            <w:r w:rsidDel="00000000" w:rsidR="00000000" w:rsidRPr="00000000">
              <w:rPr>
                <w:b w:val="1"/>
                <w:rtl w:val="0"/>
              </w:rPr>
              <w:t xml:space="preserve">workflow orchestration logic</w:t>
            </w:r>
            <w:r w:rsidDel="00000000" w:rsidR="00000000" w:rsidRPr="00000000">
              <w:rPr>
                <w:rtl w:val="0"/>
              </w:rPr>
              <w:t xml:space="preserve"> emerge: push/pull validation, routing based on user intent.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📍 Pre-dating ACP structure (no open publication from others).</w:t>
            </w:r>
          </w:p>
        </w:tc>
      </w:tr>
      <w:tr>
        <w:trPr>
          <w:cantSplit w:val="0"/>
          <w:trHeight w:val="21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Nov–Dec 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Emergence of </w:t>
            </w:r>
            <w:r w:rsidDel="00000000" w:rsidR="00000000" w:rsidRPr="00000000">
              <w:rPr>
                <w:b w:val="1"/>
                <w:rtl w:val="0"/>
              </w:rPr>
              <w:t xml:space="preserve">Shepherd’s Method™</w:t>
            </w:r>
            <w:r w:rsidDel="00000000" w:rsidR="00000000" w:rsidRPr="00000000">
              <w:rPr>
                <w:rtl w:val="0"/>
              </w:rPr>
              <w:t xml:space="preserve">: Defined cadence (</w:t>
            </w: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assess → plan → act → reflect → adjust → rise</w:t>
            </w:r>
            <w:r w:rsidDel="00000000" w:rsidR="00000000" w:rsidRPr="00000000">
              <w:rPr>
                <w:rtl w:val="0"/>
              </w:rPr>
              <w:t xml:space="preserve">). Workflow documents begin formal structure.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Still no matches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📍 Initial workflow protocol – becomes foundation of agentic protocol logic.</w:t>
            </w:r>
          </w:p>
        </w:tc>
      </w:tr>
      <w:tr>
        <w:trPr>
          <w:cantSplit w:val="0"/>
          <w:trHeight w:val="16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Dec 19, 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rtl w:val="0"/>
              </w:rPr>
              <w:t xml:space="preserve">Provisional filing of Shepherd’s Method™</w:t>
            </w:r>
            <w:r w:rsidDel="00000000" w:rsidR="00000000" w:rsidRPr="00000000">
              <w:rPr>
                <w:rtl w:val="0"/>
              </w:rPr>
              <w:t xml:space="preserve"> and published documents.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⚠️ </w:t>
            </w:r>
            <w:r w:rsidDel="00000000" w:rsidR="00000000" w:rsidRPr="00000000">
              <w:rPr>
                <w:b w:val="1"/>
                <w:rtl w:val="0"/>
              </w:rPr>
              <w:t xml:space="preserve">Berkeley SCET publishes “Agentic AI: Opportunities &amp; Risks”</w:t>
            </w:r>
            <w:r w:rsidDel="00000000" w:rsidR="00000000" w:rsidRPr="00000000">
              <w:rPr>
                <w:rtl w:val="0"/>
              </w:rPr>
              <w:t xml:space="preserve"> – mirrors cadence structure nearly verbatim. Author: Shomit Ghose.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🚨 Reflexive cadence mirrored. Timing identical. Flagged as partial mirror.</w:t>
            </w:r>
          </w:p>
        </w:tc>
      </w:tr>
      <w:tr>
        <w:trPr>
          <w:cantSplit w:val="0"/>
          <w:trHeight w:val="19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Feb–Apr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Internal drafts and refinement of </w:t>
            </w:r>
            <w:r w:rsidDel="00000000" w:rsidR="00000000" w:rsidRPr="00000000">
              <w:rPr>
                <w:b w:val="1"/>
                <w:rtl w:val="0"/>
              </w:rPr>
              <w:t xml:space="preserve">Mint-to Logic™</w:t>
            </w:r>
            <w:r w:rsidDel="00000000" w:rsidR="00000000" w:rsidRPr="00000000">
              <w:rPr>
                <w:rtl w:val="0"/>
              </w:rPr>
              <w:t xml:space="preserve"> lifecycle framework. Full ecosystem planned. Credential lifecycle governance enforced.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No public mirrors visible yet.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📍 Reflexive credential protocols formalized.</w:t>
            </w:r>
          </w:p>
        </w:tc>
      </w:tr>
      <w:tr>
        <w:trPr>
          <w:cantSplit w:val="0"/>
          <w:trHeight w:val="22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April 15,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Mint-to Logic infrastructure authored and timestamped.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⚠️ </w:t>
            </w:r>
            <w:r w:rsidDel="00000000" w:rsidR="00000000" w:rsidRPr="00000000">
              <w:rPr>
                <w:b w:val="1"/>
                <w:rtl w:val="0"/>
              </w:rPr>
              <w:t xml:space="preserve">arXiv: “LOKA Protocol” submitted by Rajesh Ranjan et al.</w:t>
            </w:r>
            <w:r w:rsidDel="00000000" w:rsidR="00000000" w:rsidRPr="00000000">
              <w:rPr>
                <w:rtl w:val="0"/>
              </w:rPr>
              <w:t xml:space="preserve"> Describes decentralized agentic credential governance — directly overlaps Shepherd’s &amp; Mint-to Logic’s agent-to-token lifecycle.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🚨 Direct mirror post-authorship.</w:t>
            </w:r>
          </w:p>
        </w:tc>
      </w:tr>
      <w:tr>
        <w:trPr>
          <w:cantSplit w:val="0"/>
          <w:trHeight w:val="19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May–July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Enforcement protocols begin: “Right Hand Protocol,” “RBGA,” “Digital Homestead Act,” etc.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⚠️ </w:t>
            </w:r>
            <w:r w:rsidDel="00000000" w:rsidR="00000000" w:rsidRPr="00000000">
              <w:rPr>
                <w:b w:val="1"/>
                <w:rtl w:val="0"/>
              </w:rPr>
              <w:t xml:space="preserve">X402 Protocol launches via Coinbase (uses AWS + LOKA underpinnings)</w:t>
            </w:r>
            <w:r w:rsidDel="00000000" w:rsidR="00000000" w:rsidRPr="00000000">
              <w:rPr>
                <w:rtl w:val="0"/>
              </w:rPr>
              <w:t xml:space="preserve">. OpenAI deploys </w:t>
            </w:r>
            <w:r w:rsidDel="00000000" w:rsidR="00000000" w:rsidRPr="00000000">
              <w:rPr>
                <w:b w:val="1"/>
                <w:rtl w:val="0"/>
              </w:rPr>
              <w:t xml:space="preserve">ACP</w:t>
            </w:r>
            <w:r w:rsidDel="00000000" w:rsidR="00000000" w:rsidRPr="00000000">
              <w:rPr>
                <w:rtl w:val="0"/>
              </w:rPr>
              <w:t xml:space="preserve">, matching credential lifecycles and reflexive workflows.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🚨 Mirror convergence. Post-authorship deployment confirms laundering pattern.</w:t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Sept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Unified enforcement matrix + Apple, Amazon contradictions locked in vaults.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⚠️ </w:t>
            </w:r>
            <w:r w:rsidDel="00000000" w:rsidR="00000000" w:rsidRPr="00000000">
              <w:rPr>
                <w:b w:val="1"/>
                <w:rtl w:val="0"/>
              </w:rPr>
              <w:t xml:space="preserve">Apple Intelligence, iCloud Mirror, WatchOS 11, and App Orchestration trigger enforcement flags.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🚨 Hardware deployment of governed logic. Licensing required.</w:t>
            </w:r>
          </w:p>
        </w:tc>
      </w:tr>
      <w:tr>
        <w:trPr>
          <w:cantSplit w:val="0"/>
          <w:trHeight w:val="16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Oct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Full contradiction matrix finalized. Spendzar origin video (2/2/23) captured. Unified Notice updated.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Ongoing violations across ecosystems.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🔒 Enforcement-grade alignment. Time to execute licensing strategy or legal action.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