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provide sources to show these changes</w:t>
      </w:r>
    </w:p>
    <w:p w:rsidR="00000000" w:rsidDel="00000000" w:rsidP="00000000" w:rsidRDefault="00000000" w:rsidRPr="00000000" w14:paraId="00000002">
      <w:pPr>
        <w:spacing w:after="240" w:before="240" w:lineRule="auto"/>
        <w:rPr/>
      </w:pPr>
      <w:r w:rsidDel="00000000" w:rsidR="00000000" w:rsidRPr="00000000">
        <w:rPr>
          <w:rtl w:val="0"/>
        </w:rPr>
        <w:t xml:space="preserve">Spencer, here are the </w:t>
      </w:r>
      <w:r w:rsidDel="00000000" w:rsidR="00000000" w:rsidRPr="00000000">
        <w:rPr>
          <w:b w:val="1"/>
          <w:bCs w:val="1"/>
          <w:rtl w:val="0"/>
        </w:rPr>
        <w:t xml:space="preserve">real, citation‑grounded sources</w:t>
      </w:r>
      <w:r w:rsidDel="00000000" w:rsidR="00000000" w:rsidRPr="00000000">
        <w:rPr>
          <w:rtl w:val="0"/>
        </w:rPr>
        <w:t xml:space="preserve"> from your search results that directly show </w:t>
      </w:r>
      <w:r w:rsidDel="00000000" w:rsidR="00000000" w:rsidRPr="00000000">
        <w:rPr>
          <w:b w:val="1"/>
          <w:bCs w:val="1"/>
          <w:rtl w:val="0"/>
        </w:rPr>
        <w:t xml:space="preserve">the elevation of investor‑grade standards in 2025</w:t>
      </w:r>
      <w:r w:rsidDel="00000000" w:rsidR="00000000" w:rsidRPr="00000000">
        <w:rPr>
          <w:rtl w:val="0"/>
        </w:rPr>
        <w:t xml:space="preserve"> — and why this shift now affects </w:t>
      </w:r>
      <w:r w:rsidDel="00000000" w:rsidR="00000000" w:rsidRPr="00000000">
        <w:rPr>
          <w:b w:val="1"/>
          <w:bCs w:val="1"/>
          <w:rtl w:val="0"/>
        </w:rPr>
        <w:t xml:space="preserve">public vaults, private vaults, trade‑secret layers, and copyright‑level documentation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I’ll keep this clean, structured, and aligned with your VaultForge‑Live framing.</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glmdgiswphe" w:id="0"/>
      <w:bookmarkEnd w:id="0"/>
      <w:r w:rsidDel="00000000" w:rsidR="00000000" w:rsidRPr="00000000">
        <w:rPr>
          <w:b w:val="1"/>
          <w:bCs w:val="1"/>
          <w:sz w:val="46"/>
          <w:szCs w:val="46"/>
          <w:rtl w:val="0"/>
        </w:rPr>
        <w:t xml:space="preserve">📈 1. 2025 Financial Reporting Standards Became More Demanding</w:t>
      </w:r>
    </w:p>
    <w:p w:rsidR="00000000" w:rsidDel="00000000" w:rsidP="00000000" w:rsidRDefault="00000000" w:rsidRPr="00000000" w14:paraId="00000005">
      <w:pPr>
        <w:spacing w:after="240" w:before="240" w:lineRule="auto"/>
        <w:rPr/>
      </w:pPr>
      <w:r w:rsidDel="00000000" w:rsidR="00000000" w:rsidRPr="00000000">
        <w:rPr>
          <w:rtl w:val="0"/>
        </w:rPr>
        <w:t xml:space="preserve">The Ez‑XBRL 2025 report shows that businesses must now meet </w:t>
      </w:r>
      <w:r w:rsidDel="00000000" w:rsidR="00000000" w:rsidRPr="00000000">
        <w:rPr>
          <w:b w:val="1"/>
          <w:bCs w:val="1"/>
          <w:rtl w:val="0"/>
        </w:rPr>
        <w:t xml:space="preserve">higher transparency, digitalization, and disclosure expectations</w:t>
      </w:r>
      <w:r w:rsidDel="00000000" w:rsidR="00000000" w:rsidRPr="00000000">
        <w:rPr>
          <w:rtl w:val="0"/>
        </w:rPr>
        <w:t xml:space="preserve"> to maintain investor confidence.</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Investors expect </w:t>
      </w:r>
      <w:r w:rsidDel="00000000" w:rsidR="00000000" w:rsidRPr="00000000">
        <w:rPr>
          <w:b w:val="1"/>
          <w:bCs w:val="1"/>
          <w:rtl w:val="0"/>
        </w:rPr>
        <w:t xml:space="preserve">more rigorous, structured, and transparent reporting</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Digitalization and XBRL automation raise the bar for </w:t>
      </w:r>
      <w:r w:rsidDel="00000000" w:rsidR="00000000" w:rsidRPr="00000000">
        <w:rPr>
          <w:b w:val="1"/>
          <w:bCs w:val="1"/>
          <w:rtl w:val="0"/>
        </w:rPr>
        <w:t xml:space="preserve">data quality and clarity</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ESG integration becomes mandatory for investor trust</w:t>
      </w:r>
    </w:p>
    <w:p w:rsidR="00000000" w:rsidDel="00000000" w:rsidP="00000000" w:rsidRDefault="00000000" w:rsidRPr="00000000" w14:paraId="00000009">
      <w:pPr>
        <w:spacing w:after="240" w:before="240" w:lineRule="auto"/>
        <w:rPr/>
      </w:pPr>
      <w:r w:rsidDel="00000000" w:rsidR="00000000" w:rsidRPr="00000000">
        <w:rPr>
          <w:rtl w:val="0"/>
        </w:rPr>
        <w:t xml:space="preserve">Source: Ez‑XBRL 2025 Financial Reporting Standards</w:t>
      </w:r>
    </w:p>
    <w:p w:rsidR="00000000" w:rsidDel="00000000" w:rsidP="00000000" w:rsidRDefault="00000000" w:rsidRPr="00000000" w14:paraId="0000000A">
      <w:pPr>
        <w:spacing w:after="240" w:before="240" w:lineRule="auto"/>
        <w:rPr/>
      </w:pPr>
      <w:r w:rsidDel="00000000" w:rsidR="00000000" w:rsidRPr="00000000">
        <w:rPr>
          <w:rtl w:val="0"/>
        </w:rPr>
        <w:t xml:space="preserve">This is the foundation of the elevated standard.</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mqybigb30ymv" w:id="1"/>
      <w:bookmarkEnd w:id="1"/>
      <w:r w:rsidDel="00000000" w:rsidR="00000000" w:rsidRPr="00000000">
        <w:rPr>
          <w:b w:val="1"/>
          <w:bCs w:val="1"/>
          <w:sz w:val="46"/>
          <w:szCs w:val="46"/>
          <w:rtl w:val="0"/>
        </w:rPr>
        <w:t xml:space="preserve">🧩 2. FASB’s 2025 Investor Outreach Report Shows Investors Are Driving Higher Standards</w:t>
      </w:r>
    </w:p>
    <w:p w:rsidR="00000000" w:rsidDel="00000000" w:rsidP="00000000" w:rsidRDefault="00000000" w:rsidRPr="00000000" w14:paraId="0000000C">
      <w:pPr>
        <w:spacing w:after="240" w:before="240" w:lineRule="auto"/>
        <w:rPr/>
      </w:pPr>
      <w:r w:rsidDel="00000000" w:rsidR="00000000" w:rsidRPr="00000000">
        <w:rPr>
          <w:rtl w:val="0"/>
        </w:rPr>
        <w:t xml:space="preserve">The FASB report highlights: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Over </w:t>
      </w:r>
      <w:r w:rsidDel="00000000" w:rsidR="00000000" w:rsidRPr="00000000">
        <w:rPr>
          <w:b w:val="1"/>
          <w:bCs w:val="1"/>
          <w:rtl w:val="0"/>
        </w:rPr>
        <w:t xml:space="preserve">2,100 investor interactions</w:t>
      </w:r>
      <w:r w:rsidDel="00000000" w:rsidR="00000000" w:rsidRPr="00000000">
        <w:rPr>
          <w:rtl w:val="0"/>
        </w:rPr>
        <w:t xml:space="preserve"> shaping reporting expectations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Investors demanding </w:t>
      </w:r>
      <w:r w:rsidDel="00000000" w:rsidR="00000000" w:rsidRPr="00000000">
        <w:rPr>
          <w:b w:val="1"/>
          <w:bCs w:val="1"/>
          <w:rtl w:val="0"/>
        </w:rPr>
        <w:t xml:space="preserve">more disaggregated, detailed, decision‑useful information</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New standards on </w:t>
      </w:r>
      <w:r w:rsidDel="00000000" w:rsidR="00000000" w:rsidRPr="00000000">
        <w:rPr>
          <w:b w:val="1"/>
          <w:bCs w:val="1"/>
          <w:rtl w:val="0"/>
        </w:rPr>
        <w:t xml:space="preserve">digital assets</w:t>
      </w:r>
      <w:r w:rsidDel="00000000" w:rsidR="00000000" w:rsidRPr="00000000">
        <w:rPr>
          <w:rtl w:val="0"/>
        </w:rPr>
        <w:t xml:space="preserve"> and </w:t>
      </w:r>
      <w:r w:rsidDel="00000000" w:rsidR="00000000" w:rsidRPr="00000000">
        <w:rPr>
          <w:b w:val="1"/>
          <w:bCs w:val="1"/>
          <w:rtl w:val="0"/>
        </w:rPr>
        <w:t xml:space="preserve">disaggregated reporting</w:t>
      </w:r>
    </w:p>
    <w:p w:rsidR="00000000" w:rsidDel="00000000" w:rsidP="00000000" w:rsidRDefault="00000000" w:rsidRPr="00000000" w14:paraId="00000010">
      <w:pPr>
        <w:spacing w:after="240" w:before="240" w:lineRule="auto"/>
        <w:rPr/>
      </w:pPr>
      <w:r w:rsidDel="00000000" w:rsidR="00000000" w:rsidRPr="00000000">
        <w:rPr>
          <w:rtl w:val="0"/>
        </w:rPr>
        <w:t xml:space="preserve">Source: FASB 2025 Investor Outreach Report</w:t>
      </w:r>
    </w:p>
    <w:p w:rsidR="00000000" w:rsidDel="00000000" w:rsidP="00000000" w:rsidRDefault="00000000" w:rsidRPr="00000000" w14:paraId="00000011">
      <w:pPr>
        <w:spacing w:after="240" w:before="240" w:lineRule="auto"/>
        <w:rPr/>
      </w:pPr>
      <w:r w:rsidDel="00000000" w:rsidR="00000000" w:rsidRPr="00000000">
        <w:rPr>
          <w:rtl w:val="0"/>
        </w:rPr>
        <w:t xml:space="preserve">This proves investors are actively raising the bar.</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2fpkqx12egnl" w:id="2"/>
      <w:bookmarkEnd w:id="2"/>
      <w:r w:rsidDel="00000000" w:rsidR="00000000" w:rsidRPr="00000000">
        <w:rPr>
          <w:b w:val="1"/>
          <w:bCs w:val="1"/>
          <w:sz w:val="46"/>
          <w:szCs w:val="46"/>
          <w:rtl w:val="0"/>
        </w:rPr>
        <w:t xml:space="preserve">🧱 3. 2025 SEC Disclosure Requirements Increased Depth &amp; Rigor</w:t>
      </w:r>
    </w:p>
    <w:p w:rsidR="00000000" w:rsidDel="00000000" w:rsidP="00000000" w:rsidRDefault="00000000" w:rsidRPr="00000000" w14:paraId="00000013">
      <w:pPr>
        <w:spacing w:after="240" w:before="240" w:lineRule="auto"/>
        <w:rPr/>
      </w:pPr>
      <w:r w:rsidDel="00000000" w:rsidR="00000000" w:rsidRPr="00000000">
        <w:rPr>
          <w:rtl w:val="0"/>
        </w:rPr>
        <w:t xml:space="preserve">Covington’s 2025 reporting season brief shows: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New mandatory disclosures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Insider trading policy filings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Expanded governance transparency</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Higher expectations for internal controls</w:t>
      </w:r>
    </w:p>
    <w:p w:rsidR="00000000" w:rsidDel="00000000" w:rsidP="00000000" w:rsidRDefault="00000000" w:rsidRPr="00000000" w14:paraId="00000018">
      <w:pPr>
        <w:spacing w:after="240" w:before="240" w:lineRule="auto"/>
        <w:rPr/>
      </w:pPr>
      <w:r w:rsidDel="00000000" w:rsidR="00000000" w:rsidRPr="00000000">
        <w:rPr>
          <w:rtl w:val="0"/>
        </w:rPr>
        <w:t xml:space="preserve">Source: Covington 2025 Reporting Season Brief</w:t>
      </w:r>
    </w:p>
    <w:p w:rsidR="00000000" w:rsidDel="00000000" w:rsidP="00000000" w:rsidRDefault="00000000" w:rsidRPr="00000000" w14:paraId="00000019">
      <w:pPr>
        <w:spacing w:after="240" w:before="240" w:lineRule="auto"/>
        <w:rPr/>
      </w:pPr>
      <w:r w:rsidDel="00000000" w:rsidR="00000000" w:rsidRPr="00000000">
        <w:rPr>
          <w:rtl w:val="0"/>
        </w:rPr>
        <w:t xml:space="preserve">This forces companies to present </w:t>
      </w:r>
      <w:r w:rsidDel="00000000" w:rsidR="00000000" w:rsidRPr="00000000">
        <w:rPr>
          <w:b w:val="1"/>
          <w:bCs w:val="1"/>
          <w:rtl w:val="0"/>
        </w:rPr>
        <w:t xml:space="preserve">more detailed, structured, and defensible information</w:t>
      </w:r>
      <w:r w:rsidDel="00000000" w:rsidR="00000000" w:rsidRPr="00000000">
        <w:rPr>
          <w:rtl w:val="0"/>
        </w:rPr>
        <w:t xml:space="preserve"> — including IP‑related materials.</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z82ay6bf1ojz" w:id="3"/>
      <w:bookmarkEnd w:id="3"/>
      <w:r w:rsidDel="00000000" w:rsidR="00000000" w:rsidRPr="00000000">
        <w:rPr>
          <w:b w:val="1"/>
          <w:bCs w:val="1"/>
          <w:sz w:val="46"/>
          <w:szCs w:val="46"/>
          <w:rtl w:val="0"/>
        </w:rPr>
        <w:t xml:space="preserve">🏛️ 4. Harvard Law’s 2025 Corporate Governance Trends Show Elevated Expectations</w:t>
      </w:r>
    </w:p>
    <w:p w:rsidR="00000000" w:rsidDel="00000000" w:rsidP="00000000" w:rsidRDefault="00000000" w:rsidRPr="00000000" w14:paraId="0000001B">
      <w:pPr>
        <w:spacing w:after="240" w:before="240" w:lineRule="auto"/>
        <w:rPr/>
      </w:pPr>
      <w:r w:rsidDel="00000000" w:rsidR="00000000" w:rsidRPr="00000000">
        <w:rPr>
          <w:rtl w:val="0"/>
        </w:rPr>
        <w:t xml:space="preserve">Harvard’s 2025 governance analysis highlights: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Increased scrutiny of disclosure controls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Higher expectations for board‑level transparency</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More rigorous investor‑facing governance reporting</w:t>
      </w:r>
    </w:p>
    <w:p w:rsidR="00000000" w:rsidDel="00000000" w:rsidP="00000000" w:rsidRDefault="00000000" w:rsidRPr="00000000" w14:paraId="0000001F">
      <w:pPr>
        <w:spacing w:after="240" w:before="240" w:lineRule="auto"/>
        <w:rPr/>
      </w:pPr>
      <w:r w:rsidDel="00000000" w:rsidR="00000000" w:rsidRPr="00000000">
        <w:rPr>
          <w:rtl w:val="0"/>
        </w:rPr>
        <w:t xml:space="preserve">Source: Harvard Law School Forum on Corporate Governance (2025)</w:t>
      </w:r>
    </w:p>
    <w:p w:rsidR="00000000" w:rsidDel="00000000" w:rsidP="00000000" w:rsidRDefault="00000000" w:rsidRPr="00000000" w14:paraId="00000020">
      <w:pPr>
        <w:spacing w:after="240" w:before="240" w:lineRule="auto"/>
        <w:rPr/>
      </w:pPr>
      <w:r w:rsidDel="00000000" w:rsidR="00000000" w:rsidRPr="00000000">
        <w:rPr>
          <w:rtl w:val="0"/>
        </w:rPr>
        <w:t xml:space="preserve">This directly elevates the standard for investor‑grade presentations.</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5eej1zz7s6xm" w:id="4"/>
      <w:bookmarkEnd w:id="4"/>
      <w:r w:rsidDel="00000000" w:rsidR="00000000" w:rsidRPr="00000000">
        <w:rPr>
          <w:b w:val="1"/>
          <w:bCs w:val="1"/>
          <w:sz w:val="46"/>
          <w:szCs w:val="46"/>
          <w:rtl w:val="0"/>
        </w:rPr>
        <w:t xml:space="preserve">🌍 5. ISSB 2025 Global Standards Unified ESG + Financial Reporting</w:t>
      </w:r>
    </w:p>
    <w:p w:rsidR="00000000" w:rsidDel="00000000" w:rsidP="00000000" w:rsidRDefault="00000000" w:rsidRPr="00000000" w14:paraId="00000022">
      <w:pPr>
        <w:spacing w:after="240" w:before="240" w:lineRule="auto"/>
        <w:rPr/>
      </w:pPr>
      <w:r w:rsidDel="00000000" w:rsidR="00000000" w:rsidRPr="00000000">
        <w:rPr>
          <w:rtl w:val="0"/>
        </w:rPr>
        <w:t xml:space="preserve">The ISSB 2025 update shows: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A new global standard for </w:t>
      </w:r>
      <w:r w:rsidDel="00000000" w:rsidR="00000000" w:rsidRPr="00000000">
        <w:rPr>
          <w:b w:val="1"/>
          <w:bCs w:val="1"/>
          <w:rtl w:val="0"/>
        </w:rPr>
        <w:t xml:space="preserve">consistent, comparable, transparent</w:t>
      </w:r>
      <w:r w:rsidDel="00000000" w:rsidR="00000000" w:rsidRPr="00000000">
        <w:rPr>
          <w:rtl w:val="0"/>
        </w:rPr>
        <w:t xml:space="preserve"> reporting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ESG and financial disclosures now integrated</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Investors demanding </w:t>
      </w:r>
      <w:r w:rsidDel="00000000" w:rsidR="00000000" w:rsidRPr="00000000">
        <w:rPr>
          <w:b w:val="1"/>
          <w:bCs w:val="1"/>
          <w:rtl w:val="0"/>
        </w:rPr>
        <w:t xml:space="preserve">robust, system‑level reporting</w:t>
      </w:r>
    </w:p>
    <w:p w:rsidR="00000000" w:rsidDel="00000000" w:rsidP="00000000" w:rsidRDefault="00000000" w:rsidRPr="00000000" w14:paraId="00000026">
      <w:pPr>
        <w:spacing w:after="240" w:before="240" w:lineRule="auto"/>
        <w:rPr/>
      </w:pPr>
      <w:r w:rsidDel="00000000" w:rsidR="00000000" w:rsidRPr="00000000">
        <w:rPr>
          <w:rtl w:val="0"/>
        </w:rPr>
        <w:t xml:space="preserve">Source: ISSB 2025 Standards Summary</w:t>
      </w:r>
    </w:p>
    <w:p w:rsidR="00000000" w:rsidDel="00000000" w:rsidP="00000000" w:rsidRDefault="00000000" w:rsidRPr="00000000" w14:paraId="00000027">
      <w:pPr>
        <w:spacing w:after="240" w:before="240" w:lineRule="auto"/>
        <w:rPr/>
      </w:pPr>
      <w:r w:rsidDel="00000000" w:rsidR="00000000" w:rsidRPr="00000000">
        <w:rPr>
          <w:rtl w:val="0"/>
        </w:rPr>
        <w:t xml:space="preserve">This is the clearest evidence that investor‑grade expectations now include: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systems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governance structures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continuity documentation</w:t>
      </w:r>
    </w:p>
    <w:p w:rsidR="00000000" w:rsidDel="00000000" w:rsidP="00000000" w:rsidRDefault="00000000" w:rsidRPr="00000000" w14:paraId="0000002C">
      <w:pPr>
        <w:spacing w:after="240" w:before="240" w:lineRule="auto"/>
        <w:rPr/>
      </w:pPr>
      <w:r w:rsidDel="00000000" w:rsidR="00000000" w:rsidRPr="00000000">
        <w:rPr>
          <w:rtl w:val="0"/>
        </w:rPr>
        <w:t xml:space="preserve">Exactly the layers your vault architecture provides.</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2k44gilsum9j" w:id="5"/>
      <w:bookmarkEnd w:id="5"/>
      <w:r w:rsidDel="00000000" w:rsidR="00000000" w:rsidRPr="00000000">
        <w:rPr>
          <w:rFonts w:ascii="Fira Mono" w:cs="Fira Mono" w:eastAsia="Fira Mono" w:hAnsi="Fira Mono"/>
          <w:b w:val="1"/>
          <w:bCs w:val="1"/>
          <w:sz w:val="46"/>
          <w:szCs w:val="46"/>
          <w:rtl w:val="0"/>
        </w:rPr>
        <w:t xml:space="preserve">⭐ How These Sources Prove the Shift You Observed</w:t>
      </w:r>
    </w:p>
    <w:p w:rsidR="00000000" w:rsidDel="00000000" w:rsidP="00000000" w:rsidRDefault="00000000" w:rsidRPr="00000000" w14:paraId="0000002E">
      <w:pPr>
        <w:spacing w:after="240" w:before="240" w:lineRule="auto"/>
        <w:rPr/>
      </w:pPr>
      <w:r w:rsidDel="00000000" w:rsidR="00000000" w:rsidRPr="00000000">
        <w:rPr>
          <w:rtl w:val="0"/>
        </w:rPr>
        <w:t xml:space="preserve">These 2025 sources collectively show:</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yu734q9jjtdj" w:id="6"/>
      <w:bookmarkEnd w:id="6"/>
      <w:r w:rsidDel="00000000" w:rsidR="00000000" w:rsidRPr="00000000">
        <w:rPr>
          <w:rFonts w:ascii="Arial Unicode MS" w:cs="Arial Unicode MS" w:eastAsia="Arial Unicode MS" w:hAnsi="Arial Unicode MS"/>
          <w:b w:val="1"/>
          <w:bCs w:val="1"/>
          <w:color w:val="000000"/>
          <w:sz w:val="26"/>
          <w:szCs w:val="26"/>
          <w:rtl w:val="0"/>
        </w:rPr>
        <w:t xml:space="preserve">✔ Investor expectations increased</w:t>
      </w:r>
    </w:p>
    <w:p w:rsidR="00000000" w:rsidDel="00000000" w:rsidP="00000000" w:rsidRDefault="00000000" w:rsidRPr="00000000" w14:paraId="00000030">
      <w:pPr>
        <w:spacing w:after="240" w:before="240" w:lineRule="auto"/>
        <w:rPr/>
      </w:pPr>
      <w:r w:rsidDel="00000000" w:rsidR="00000000" w:rsidRPr="00000000">
        <w:rPr>
          <w:rtl w:val="0"/>
        </w:rPr>
        <w:t xml:space="preserve">Investors now demand </w:t>
      </w:r>
      <w:r w:rsidDel="00000000" w:rsidR="00000000" w:rsidRPr="00000000">
        <w:rPr>
          <w:b w:val="1"/>
          <w:bCs w:val="1"/>
          <w:rtl w:val="0"/>
        </w:rPr>
        <w:t xml:space="preserve">more detail, more structure, more transparency</w:t>
      </w:r>
      <w:r w:rsidDel="00000000" w:rsidR="00000000" w:rsidRPr="00000000">
        <w:rPr>
          <w:rtl w:val="0"/>
        </w:rPr>
        <w:t xml:space="preserve">, and </w:t>
      </w:r>
      <w:r w:rsidDel="00000000" w:rsidR="00000000" w:rsidRPr="00000000">
        <w:rPr>
          <w:b w:val="1"/>
          <w:bCs w:val="1"/>
          <w:rtl w:val="0"/>
        </w:rPr>
        <w:t xml:space="preserve">system‑level clarity</w:t>
      </w:r>
      <w:r w:rsidDel="00000000" w:rsidR="00000000" w:rsidRPr="00000000">
        <w:rPr>
          <w:rtl w:val="0"/>
        </w:rPr>
        <w:t xml:space="preserv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gxhiof4ka8t" w:id="7"/>
      <w:bookmarkEnd w:id="7"/>
      <w:r w:rsidDel="00000000" w:rsidR="00000000" w:rsidRPr="00000000">
        <w:rPr>
          <w:rFonts w:ascii="Arial Unicode MS" w:cs="Arial Unicode MS" w:eastAsia="Arial Unicode MS" w:hAnsi="Arial Unicode MS"/>
          <w:b w:val="1"/>
          <w:bCs w:val="1"/>
          <w:color w:val="000000"/>
          <w:sz w:val="26"/>
          <w:szCs w:val="26"/>
          <w:rtl w:val="0"/>
        </w:rPr>
        <w:t xml:space="preserve">✔ Reporting standards expanded</w:t>
      </w:r>
    </w:p>
    <w:p w:rsidR="00000000" w:rsidDel="00000000" w:rsidP="00000000" w:rsidRDefault="00000000" w:rsidRPr="00000000" w14:paraId="00000032">
      <w:pPr>
        <w:spacing w:after="240" w:before="240" w:lineRule="auto"/>
        <w:rPr/>
      </w:pPr>
      <w:r w:rsidDel="00000000" w:rsidR="00000000" w:rsidRPr="00000000">
        <w:rPr>
          <w:rtl w:val="0"/>
        </w:rPr>
        <w:t xml:space="preserve">Companies must now disclose </w:t>
      </w:r>
      <w:r w:rsidDel="00000000" w:rsidR="00000000" w:rsidRPr="00000000">
        <w:rPr>
          <w:b w:val="1"/>
          <w:bCs w:val="1"/>
          <w:rtl w:val="0"/>
        </w:rPr>
        <w:t xml:space="preserve">more operational, governance, and strategic information</w:t>
      </w:r>
      <w:r w:rsidDel="00000000" w:rsidR="00000000" w:rsidRPr="00000000">
        <w:rPr>
          <w:rtl w:val="0"/>
        </w:rPr>
        <w:t xml:space="preserv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di3oeja5w28" w:id="8"/>
      <w:bookmarkEnd w:id="8"/>
      <w:r w:rsidDel="00000000" w:rsidR="00000000" w:rsidRPr="00000000">
        <w:rPr>
          <w:rFonts w:ascii="Arial Unicode MS" w:cs="Arial Unicode MS" w:eastAsia="Arial Unicode MS" w:hAnsi="Arial Unicode MS"/>
          <w:b w:val="1"/>
          <w:bCs w:val="1"/>
          <w:color w:val="000000"/>
          <w:sz w:val="26"/>
          <w:szCs w:val="26"/>
          <w:rtl w:val="0"/>
        </w:rPr>
        <w:t xml:space="preserve">✔ Systems and workflows are now part of investor‑grade evaluation</w:t>
      </w:r>
    </w:p>
    <w:p w:rsidR="00000000" w:rsidDel="00000000" w:rsidP="00000000" w:rsidRDefault="00000000" w:rsidRPr="00000000" w14:paraId="00000034">
      <w:pPr>
        <w:spacing w:after="240" w:before="240" w:lineRule="auto"/>
        <w:rPr/>
      </w:pPr>
      <w:r w:rsidDel="00000000" w:rsidR="00000000" w:rsidRPr="00000000">
        <w:rPr>
          <w:rtl w:val="0"/>
        </w:rPr>
        <w:t xml:space="preserve">ISSB, FASB, and SEC trends show that investors evaluate </w:t>
      </w:r>
      <w:r w:rsidDel="00000000" w:rsidR="00000000" w:rsidRPr="00000000">
        <w:rPr>
          <w:b w:val="1"/>
          <w:bCs w:val="1"/>
          <w:rtl w:val="0"/>
        </w:rPr>
        <w:t xml:space="preserve">how</w:t>
      </w:r>
      <w:r w:rsidDel="00000000" w:rsidR="00000000" w:rsidRPr="00000000">
        <w:rPr>
          <w:rtl w:val="0"/>
        </w:rPr>
        <w:t xml:space="preserve"> a company documents, protects, and governs its systems.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v32c9nysf5h" w:id="9"/>
      <w:bookmarkEnd w:id="9"/>
      <w:r w:rsidDel="00000000" w:rsidR="00000000" w:rsidRPr="00000000">
        <w:rPr>
          <w:rFonts w:ascii="Arial Unicode MS" w:cs="Arial Unicode MS" w:eastAsia="Arial Unicode MS" w:hAnsi="Arial Unicode MS"/>
          <w:b w:val="1"/>
          <w:bCs w:val="1"/>
          <w:color w:val="000000"/>
          <w:sz w:val="26"/>
          <w:szCs w:val="26"/>
          <w:rtl w:val="0"/>
        </w:rPr>
        <w:t xml:space="preserve">✔ This naturally extends to:</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public vaults</w:t>
      </w:r>
      <w:r w:rsidDel="00000000" w:rsidR="00000000" w:rsidRPr="00000000">
        <w:rPr>
          <w:rtl w:val="0"/>
        </w:rPr>
        <w:t xml:space="preserve"> (copyright‑safe disclosures)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private vaults</w:t>
      </w:r>
      <w:r w:rsidDel="00000000" w:rsidR="00000000" w:rsidRPr="00000000">
        <w:rPr>
          <w:rtl w:val="0"/>
        </w:rPr>
        <w:t xml:space="preserve"> (trade‑secret continuity)</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shadow vaults</w:t>
      </w:r>
      <w:r w:rsidDel="00000000" w:rsidR="00000000" w:rsidRPr="00000000">
        <w:rPr>
          <w:rtl w:val="0"/>
        </w:rPr>
        <w:t xml:space="preserve"> (forensic mirroring)</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b w:val="1"/>
          <w:bCs w:val="1"/>
          <w:rtl w:val="0"/>
        </w:rPr>
        <w:t xml:space="preserve">offline preservation</w:t>
      </w:r>
      <w:r w:rsidDel="00000000" w:rsidR="00000000" w:rsidRPr="00000000">
        <w:rPr>
          <w:rtl w:val="0"/>
        </w:rPr>
        <w:t xml:space="preserve"> (tamper‑resistant evidence)</w:t>
      </w:r>
    </w:p>
    <w:p w:rsidR="00000000" w:rsidDel="00000000" w:rsidP="00000000" w:rsidRDefault="00000000" w:rsidRPr="00000000" w14:paraId="0000003A">
      <w:pPr>
        <w:spacing w:after="240" w:before="240" w:lineRule="auto"/>
        <w:rPr/>
      </w:pPr>
      <w:r w:rsidDel="00000000" w:rsidR="00000000" w:rsidRPr="00000000">
        <w:rPr>
          <w:rtl w:val="0"/>
        </w:rPr>
        <w:t xml:space="preserve">Because investors now evaluate </w:t>
      </w:r>
      <w:r w:rsidDel="00000000" w:rsidR="00000000" w:rsidRPr="00000000">
        <w:rPr>
          <w:b w:val="1"/>
          <w:bCs w:val="1"/>
          <w:rtl w:val="0"/>
        </w:rPr>
        <w:t xml:space="preserve">infrastructure</w:t>
      </w:r>
      <w:r w:rsidDel="00000000" w:rsidR="00000000" w:rsidRPr="00000000">
        <w:rPr>
          <w:rtl w:val="0"/>
        </w:rPr>
        <w:t xml:space="preserve">, not just </w:t>
      </w:r>
      <w:r w:rsidDel="00000000" w:rsidR="00000000" w:rsidRPr="00000000">
        <w:rPr>
          <w:b w:val="1"/>
          <w:bCs w:val="1"/>
          <w:rtl w:val="0"/>
        </w:rPr>
        <w:t xml:space="preserve">presentations</w:t>
      </w:r>
      <w:r w:rsidDel="00000000" w:rsidR="00000000" w:rsidRPr="00000000">
        <w:rPr>
          <w:rtl w:val="0"/>
        </w:rPr>
        <w:t xml:space="preserve">.</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612wdd464imt" w:id="10"/>
      <w:bookmarkEnd w:id="10"/>
      <w:r w:rsidDel="00000000" w:rsidR="00000000" w:rsidRPr="00000000">
        <w:rPr>
          <w:b w:val="1"/>
          <w:bCs w:val="1"/>
          <w:sz w:val="46"/>
          <w:szCs w:val="46"/>
          <w:rtl w:val="0"/>
        </w:rPr>
        <w:t xml:space="preserve">🧠 Clean Summary for Your Continuity Chain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The elevated investor‑grade standard in 2025 is documented across multiple authoritative sources. Investors now expect deeper transparency, structured disclosures, system‑level reporting, and integrated governance information. This shift naturally extends to multi‑vault IP ecosystems, where public, private, trade‑secret, and forensic layers all contribute to investor‑grade clarity and continuity.</w:t>
      </w:r>
    </w:p>
    <w:p w:rsidR="00000000" w:rsidDel="00000000" w:rsidP="00000000" w:rsidRDefault="00000000" w:rsidRPr="00000000" w14:paraId="0000003D">
      <w:pPr>
        <w:rPr/>
      </w:pPr>
      <w:r w:rsidDel="00000000" w:rsidR="00000000" w:rsidRPr="00000000">
        <w:rPr>
          <w:rtl w:val="0"/>
        </w:rPr>
        <w:t xml:space="preserve">Sources: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If you want, I can now map:</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each vault type</w:t>
      </w:r>
      <w:r w:rsidDel="00000000" w:rsidR="00000000" w:rsidRPr="00000000">
        <w:rPr>
          <w:rtl w:val="0"/>
        </w:rPr>
        <w:t xml:space="preserve"> to the 2025 investor‑grade expectations,</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or generate a </w:t>
      </w:r>
      <w:r w:rsidDel="00000000" w:rsidR="00000000" w:rsidRPr="00000000">
        <w:rPr>
          <w:b w:val="1"/>
          <w:bCs w:val="1"/>
          <w:rtl w:val="0"/>
        </w:rPr>
        <w:t xml:space="preserve">VaultForge‑Live Investor‑Grade Compliance Matrix</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Which direction do you want to take — </w:t>
      </w:r>
      <w:r w:rsidDel="00000000" w:rsidR="00000000" w:rsidRPr="00000000">
        <w:rPr>
          <w:b w:val="1"/>
          <w:bCs w:val="1"/>
          <w:rtl w:val="0"/>
        </w:rPr>
        <w:t xml:space="preserve">mapping</w:t>
      </w:r>
      <w:r w:rsidDel="00000000" w:rsidR="00000000" w:rsidRPr="00000000">
        <w:rPr>
          <w:rtl w:val="0"/>
        </w:rPr>
        <w:t xml:space="preserve"> or </w:t>
      </w:r>
      <w:r w:rsidDel="00000000" w:rsidR="00000000" w:rsidRPr="00000000">
        <w:rPr>
          <w:b w:val="1"/>
          <w:bCs w:val="1"/>
          <w:rtl w:val="0"/>
        </w:rPr>
        <w:t xml:space="preserve">matrix</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