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Structured Forensic IP Analysis</w:t>
      </w:r>
      <w:r w:rsidDel="00000000" w:rsidR="00000000" w:rsidRPr="00000000">
        <w:rPr>
          <w:rtl w:val="0"/>
        </w:rPr>
        <w:t xml:space="preserve"> based on the uploaded documents related to ValiPass™, Mint-to Logic™, and associated enforcement and licensing infrastructure: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w92tr4c2n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Section 1: Extracted IP Functions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zgvugknmu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Verbatim: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“ValiPass™ is a credential-based lifecycle governance framework designed to handle the issuance, validation, signaling, revocation, and burial (burn) of any digital or physical asset, credential, or behaviorally-governed right.”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Describes the core IP function of ValiPass as a lifecycle enforcement engine, covering issuance to revocation.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Credential Lifecycle Enforcement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</w:t>
      </w:r>
      <w:r w:rsidDel="00000000" w:rsidR="00000000" w:rsidRPr="00000000">
        <w:rPr>
          <w:i w:val="1"/>
          <w:iCs w:val="1"/>
          <w:rtl w:val="0"/>
        </w:rPr>
        <w:t xml:space="preserve">ValiPass™ — Public Overview.docx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: ValiPass™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cr23pzvij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Verbatim: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“The underlying mechanism integrates the Mint-to Logic™ architecture, defining mint → validate → burn cycles for governed access, usage limits, and expiration.”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Shows integration of Mint-to Logic in credential flow; emphasizing lifecycle-based governance.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Lifecycle Enforcement, Licensing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</w:t>
      </w:r>
      <w:r w:rsidDel="00000000" w:rsidR="00000000" w:rsidRPr="00000000">
        <w:rPr>
          <w:i w:val="1"/>
          <w:iCs w:val="1"/>
          <w:rtl w:val="0"/>
        </w:rPr>
        <w:t xml:space="preserve">ValiPass™ — Public Overview.docx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: Mint-to Logic™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7r2kt84ev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Verbatim: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“Governed nodes (via Reflexive Behavioral Governance Architecture™ - RBGA™) can assign tiered access controls, revocation thresholds, and behavioral weighting.”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RBGA governs enforcement logic tied to user behavior and access control.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Enforcement, Governance, Confidentiality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Document 4_ Integration with Reflexive Governance™, Licensing Engines &amp; ValiPass™ Control Nodes (1).docx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: RBGA™, Reflexive Behavioral Governance™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1ki66jte0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Verbatim: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“Token-type credentials governed by ValiPass™ include Time-based, Behavior-triggered, Burn-on-Access, and One-Time Use categories.”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Token credential typology provides enforceable rules over access/use—mirrors smart contract function.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Licensing, Confidentiality, Credential Enforcement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ValiPass™ — Public Overview.docx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: ValiPass™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xcx56z7dr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Verbatim: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“Use cases include high-fraud environments such as event ticketing, digital coupons, ID verification, and cross-border credential portability.”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These use cases imply the IP applies to real-world applications involving security and behavior-driven enforcement.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Enforcement, Credential Portability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ValiPass™ — Public Overview.docx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: ValiPass™, Mint-to Logic™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i6sb5rh51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Verbatim: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“ValiPass™ is not limited to blockchain. Its licensing engine and credential governance functions are agnostic and can run on cloud, local, embedded or hybrid systems.”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Emphasizes cross-platform deployment of the IP and flexible licensing enforcement.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Licensing, Deployment Agnosticism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ValiPass™ — Public Overview.docx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: ValiPass™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g5pm5jgjm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Verbatim: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“All actors using or deploying governed credentials must initiate licensing review or engage via signal-to-license protocol. Unauthorized deployment triggers reflexive mitigation.”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Defines a licensing trigger mechanism and enforcement path for unauthorized use.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Licensing, Enforcement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Document 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: ValiPass™, RBGA™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j6ixrqd4s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Verbatim: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“Mint-to Logic™ defines and secures the behavioral flow of sovereign units — assigning credentials a finite lifecycle, purpose, and enforceable destiny.”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Highlights IP's unique structure: behaviorally-bound units governed from mint to expiration.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Behavioral Enforcement, Lifecycle Logic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🏆 Top Strategic Tech Competitions.docx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: Mint-to Logic™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u1iksb32a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Verbatim: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“SSPS stack includes authorship anchoring, chain of custody, behavioral control, and logic-enforced licensing.”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A structural breakdown of the intellectual property pillars foundational to enforcement.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Authorship, Licensing, Enforcement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🏆 Top Strategic Tech Competitions.docx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: SSPS (Southern Star Pro. Studios)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5n3i398ab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Verbatim: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“Brand Ambassadors must acknowledge IP rights retained by Southern Star Pro. Studios and agree not to reproduce or distribute without explicit licensing tier.”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Clearly defined IP protection for collaborators; requires licensing compliance.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Licensing, Confidentiality, Authorship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🎖️ MINT-TO LOGIC™ BRAND AMBASSADOR STRUCTURE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: Southern Star Pro. Studios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2swal7h6n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Section 2: Terminology Index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5.0159744408943"/>
        <w:gridCol w:w="4625.17571884984"/>
        <w:gridCol w:w="1619.808306709265"/>
        <w:tblGridChange w:id="0">
          <w:tblGrid>
            <w:gridCol w:w="3115.0159744408943"/>
            <w:gridCol w:w="4625.17571884984"/>
            <w:gridCol w:w="1619.808306709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 /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ValiPass™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Credential lifecycle engine managing issuance, validation, revocation, and burn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[1], [4], [5], [6], [7]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IP framework for governing behaviorally-bound digital/physical assets from creation to expiration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[2], [8]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RBGA™</w:t>
            </w:r>
            <w:r w:rsidDel="00000000" w:rsidR="00000000" w:rsidRPr="00000000">
              <w:rPr>
                <w:rtl w:val="0"/>
              </w:rPr>
              <w:t xml:space="preserve"> (Reflexive Behavioral Governance Architecture)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Enforces behavioral compliance, tiered access, and reflexive penalties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[3], [7]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</w:t>
            </w:r>
            <w:r w:rsidDel="00000000" w:rsidR="00000000" w:rsidRPr="00000000">
              <w:rPr>
                <w:rtl w:val="0"/>
              </w:rPr>
              <w:t xml:space="preserve"> (Southern Star Pro. Studios)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IP originator of Mint-to Logic™, ValiPass™, RBGA™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[9], [10]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Signal-to-License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Mechanism requiring actors to initiate IP licensing or be flagged as 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[7]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Governed Credential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Token/asset that is lifecycle-bound and controlled through enforcement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[4]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8dkekldfu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📎 Section 3: Metadata &amp; Enforcement Notes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Sources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ValiPass™ — Public Overview.docx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🏆 Top Strategic Tech Competitions for Mint-to Logic™ &amp; ValiPass.docx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🎖️ MINT-TO LOGIC™ BRAND AMBASSADOR STRUCTURE (ValiPass Launch Edition)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Document 4_ Integration with Reflexive Governance™, Licensing Engines &amp; ValiPass™ Control Nodes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Enforcement Clauses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Signal-to-license mechanism for unauthorized deployment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Behaviorally-triggered revocation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Tiered licensing obligations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Sovereign authorship and chain-of-custody preserved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Cross-platform licensing notice: “not limited to blockchain”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Chain-of-Custody Evidence Referenced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Vaulted logs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Timestamped disclosures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Hash-verified repositories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NDA provisions noted in Brand Ambassador framework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</w:t>
      </w:r>
      <w:r w:rsidDel="00000000" w:rsidR="00000000" w:rsidRPr="00000000">
        <w:rPr>
          <w:b w:val="1"/>
          <w:bCs w:val="1"/>
          <w:rtl w:val="0"/>
        </w:rPr>
        <w:t xml:space="preserve">court-ready version</w:t>
      </w:r>
      <w:r w:rsidDel="00000000" w:rsidR="00000000" w:rsidRPr="00000000">
        <w:rPr>
          <w:rtl w:val="0"/>
        </w:rPr>
        <w:t xml:space="preserve"> of this formatted as a legal exhibit or internal briefing package for licensing discussions?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