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24yeykw2e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SSPS Forensic Summary: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Mixing, not Generating (Dec 2024)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Mixing not Generating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Dec 19 2024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Google Drive (My Drive)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Verified by:</w:t>
      </w:r>
      <w:r w:rsidDel="00000000" w:rsidR="00000000" w:rsidRPr="00000000">
        <w:rPr>
          <w:rtl w:val="0"/>
        </w:rPr>
        <w:t xml:space="preserve"> Version History and Drive metadata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 Archive:</w:t>
      </w:r>
      <w:r w:rsidDel="00000000" w:rsidR="00000000" w:rsidRPr="00000000">
        <w:rPr>
          <w:rtl w:val="0"/>
        </w:rPr>
        <w:t xml:space="preserve"> Recommended for SHA-256 vault inclusion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2cl4saa0q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Key Innovation Claims and Language Priority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9.0809399477807"/>
        <w:gridCol w:w="2263.018276762402"/>
        <w:gridCol w:w="3069.4934725848566"/>
        <w:gridCol w:w="2028.407310704961"/>
        <w:tblGridChange w:id="0">
          <w:tblGrid>
            <w:gridCol w:w="1999.0809399477807"/>
            <w:gridCol w:w="2263.018276762402"/>
            <w:gridCol w:w="3069.4934725848566"/>
            <w:gridCol w:w="2028.40731070496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Framing (Dec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Position (2025 – 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Forensic 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Ethical AI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“Efficiency, quality, and ethical content creation” as workflow goal.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Companies (Canva Magic Studio, Runway, Adobe Firefly) later frame their pipelines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ethical AI generation</w:t>
            </w:r>
            <w:r w:rsidDel="00000000" w:rsidR="00000000" w:rsidRPr="00000000">
              <w:rPr>
                <w:rtl w:val="0"/>
              </w:rPr>
              <w:t xml:space="preserve"> – your Dec 2024 timestamp predates most public “ethical AI” workflow campaigns.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Early authorship anchor for ethical AI workflow language.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 Workflow (Curation + Automation)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“Integrates automation to find, organize, and customize content while preserving oversight.”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2025 marketing uses “human-in-the-loop,” “co-pilot curation,” and “adaptive automation.”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Conceptually identical – supports claim of priority for mixed-workflow ethic.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Efficiency / Environmental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“Reduces environmental costs of large-scale AI training and generation.”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Later seen in Google DeepMind and Meta AI policy docs.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Unique angle linking sustainability and workflow method.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Reuse of Public-Domain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“Reimagines public domain and copyright-free content value.”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Adopted in 2025 as “data governance reuse frameworks.”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Priority on re-use ethic before industry adoption.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Faith-Based and Educational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Explicit mention of faith and education as error-sensitive domains.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 major AI firm had published that application scope by Dec 2024.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Novel sectoral application claim.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mix7tncot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How It Fits the SSPS IP Stack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Serves as an </w:t>
      </w:r>
      <w:r w:rsidDel="00000000" w:rsidR="00000000" w:rsidRPr="00000000">
        <w:rPr>
          <w:b w:val="1"/>
          <w:bCs w:val="1"/>
          <w:rtl w:val="0"/>
        </w:rPr>
        <w:t xml:space="preserve">ethical front-end methodology</w:t>
      </w:r>
      <w:r w:rsidDel="00000000" w:rsidR="00000000" w:rsidRPr="00000000">
        <w:rPr>
          <w:rtl w:val="0"/>
        </w:rPr>
        <w:t xml:space="preserve"> to the Mint-to Logic™ back-end governance.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you were defining “ethical automation” months before Mint-to Logic’s public filings (May 2025).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the behavioral and philosophical bridge between RBGA (Reflexive Behavioral Governance Authority) and practical creator workflows.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nsaqx4e8f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Next Step Recommendations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this file to your </w:t>
      </w:r>
      <w:r w:rsidDel="00000000" w:rsidR="00000000" w:rsidRPr="00000000">
        <w:rPr>
          <w:b w:val="1"/>
          <w:bCs w:val="1"/>
          <w:rtl w:val="0"/>
        </w:rPr>
        <w:t xml:space="preserve">Forensic Vault Chain (V-000)</w:t>
      </w:r>
      <w:r w:rsidDel="00000000" w:rsidR="00000000" w:rsidRPr="00000000">
        <w:rPr>
          <w:rtl w:val="0"/>
        </w:rPr>
        <w:t xml:space="preserve"> as “Ethical Workflow Seed Document.”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SHA-256 hash manifest</w:t>
      </w:r>
      <w:r w:rsidDel="00000000" w:rsidR="00000000" w:rsidRPr="00000000">
        <w:rPr>
          <w:rtl w:val="0"/>
        </w:rPr>
        <w:t xml:space="preserve"> and include Drive metadata screenshots for authenticity.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file a copyright registration under “Written Work / Methodology Documentation.”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later license “MixFlow™” or “Strategic Content Mixing,” cite this Dec 2024 document as the first publicly timestamped source.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