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q9rpdo1je6c" w:id="0"/>
      <w:bookmarkEnd w:id="0"/>
      <w:r w:rsidDel="00000000" w:rsidR="00000000" w:rsidRPr="00000000">
        <w:rPr>
          <w:b w:val="1"/>
          <w:bCs w:val="1"/>
          <w:color w:val="000000"/>
          <w:sz w:val="26"/>
          <w:szCs w:val="26"/>
          <w:rtl w:val="0"/>
        </w:rPr>
        <w:t xml:space="preserve">Global climate 2025–2026: lifecycle‑governed AI becoming default</w:t>
      </w:r>
    </w:p>
    <w:p w:rsidR="00000000" w:rsidDel="00000000" w:rsidP="00000000" w:rsidRDefault="00000000" w:rsidRPr="00000000" w14:paraId="00000002">
      <w:pPr>
        <w:spacing w:after="240" w:before="240" w:lineRule="auto"/>
        <w:rPr/>
      </w:pPr>
      <w:r w:rsidDel="00000000" w:rsidR="00000000" w:rsidRPr="00000000">
        <w:rPr>
          <w:rtl w:val="0"/>
        </w:rPr>
        <w:t xml:space="preserve">The core shift: AI is no longer treated as a static “model” but as a </w:t>
      </w:r>
      <w:r w:rsidDel="00000000" w:rsidR="00000000" w:rsidRPr="00000000">
        <w:rPr>
          <w:b w:val="1"/>
          <w:bCs w:val="1"/>
          <w:rtl w:val="0"/>
        </w:rPr>
        <w:t xml:space="preserve">regulated lifecycle of actions</w:t>
      </w:r>
      <w:r w:rsidDel="00000000" w:rsidR="00000000" w:rsidRPr="00000000">
        <w:rPr>
          <w:rtl w:val="0"/>
        </w:rPr>
        <w:t xml:space="preserve"> that must be classified, monitored, logged, and governed from design through_deployment and operation. The EU AI Act, NIST AI RMF, and ISO/IEC 42001 together form a de facto global stack: the EU AI Act is binding law with risk tiers and lifecycle obligations, NIST AI RMF defines how to govern, map, measure, and manage AI risks over time, and ISO/IEC 42001 provides a certifiable AI management system that proves governance is actually implemented.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541e7isnu1d" w:id="1"/>
      <w:bookmarkEnd w:id="1"/>
      <w:r w:rsidDel="00000000" w:rsidR="00000000" w:rsidRPr="00000000">
        <w:rPr>
          <w:b w:val="1"/>
          <w:bCs w:val="1"/>
          <w:color w:val="000000"/>
          <w:sz w:val="26"/>
          <w:szCs w:val="26"/>
          <w:rtl w:val="0"/>
        </w:rPr>
        <w:t xml:space="preserve">Key lifecycle governance patterns (that mirror Mint‑to Logic™)</w:t>
      </w:r>
    </w:p>
    <w:p w:rsidR="00000000" w:rsidDel="00000000" w:rsidP="00000000" w:rsidRDefault="00000000" w:rsidRPr="00000000" w14:paraId="00000004">
      <w:pPr>
        <w:spacing w:after="240" w:before="240" w:lineRule="auto"/>
        <w:rPr/>
      </w:pPr>
      <w:r w:rsidDel="00000000" w:rsidR="00000000" w:rsidRPr="00000000">
        <w:rPr>
          <w:rtl w:val="0"/>
        </w:rPr>
        <w:t xml:space="preserve">These are the specific patterns you should relic:</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b w:val="1"/>
          <w:bCs w:val="1"/>
          <w:rtl w:val="0"/>
        </w:rPr>
        <w:t xml:space="preserve">Risk‑tiered routing of systems (Mint‑to routing layer → risk tiers):</w:t>
      </w:r>
      <w:r w:rsidDel="00000000" w:rsidR="00000000" w:rsidRPr="00000000">
        <w:rPr>
          <w:rtl w:val="0"/>
        </w:rPr>
        <w:t xml:space="preserve">  </w:t>
      </w:r>
    </w:p>
    <w:p w:rsidR="00000000" w:rsidDel="00000000" w:rsidP="00000000" w:rsidRDefault="00000000" w:rsidRPr="00000000" w14:paraId="00000006">
      <w:pPr>
        <w:numPr>
          <w:ilvl w:val="0"/>
          <w:numId w:val="2"/>
        </w:numPr>
        <w:spacing w:after="240" w:before="240" w:lineRule="auto"/>
        <w:ind w:left="720" w:hanging="360"/>
      </w:pPr>
      <w:r w:rsidDel="00000000" w:rsidR="00000000" w:rsidRPr="00000000">
        <w:rPr>
          <w:rtl w:val="0"/>
        </w:rPr>
        <w:t xml:space="preserve">The EU AI Act classifies AI into unacceptable, high, limited, and minimal risk, with high‑risk systems required to undergo conformity assessment, technical documentation, human oversight, and registration before deployment—effectively routing systems into different protocol paths based on metadata and context.</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b w:val="1"/>
          <w:bCs w:val="1"/>
          <w:rtl w:val="0"/>
        </w:rPr>
        <w:t xml:space="preserve">Lifecycle‑wide obligations (Mint Unit lifecycle → AI lifecycle):</w:t>
      </w:r>
      <w:r w:rsidDel="00000000" w:rsidR="00000000" w:rsidRPr="00000000">
        <w:rPr>
          <w:rtl w:val="0"/>
        </w:rPr>
        <w:t xml:space="preserve">  </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tl w:val="0"/>
        </w:rPr>
        <w:t xml:space="preserve">Compliance is explicitly lifecycle‑based: organizations must show how each AI system is used, monitored, logged, and escalated throughout its lifecycle, not just at deployment. Deployers are warned that evidence gaps typically occur in monitoring, logging, and escalation—exactly the downstream lifecycle you formalized as Mint‑to‑Burn, Mint‑to‑Limbo, Mint‑to‑Access, and Mint‑to‑Code.</w:t>
      </w:r>
    </w:p>
    <w:p w:rsidR="00000000" w:rsidDel="00000000" w:rsidP="00000000" w:rsidRDefault="00000000" w:rsidRPr="00000000" w14:paraId="00000009">
      <w:pPr>
        <w:rPr/>
      </w:pPr>
      <w:r w:rsidDel="00000000" w:rsidR="00000000" w:rsidRPr="00000000">
        <w:rPr>
          <w:b w:val="1"/>
          <w:bCs w:val="1"/>
          <w:rtl w:val="0"/>
        </w:rPr>
        <w:t xml:space="preserve">Execution logging and traceability (Audit [600]):</w:t>
      </w:r>
      <w:r w:rsidDel="00000000" w:rsidR="00000000" w:rsidRPr="00000000">
        <w:rPr>
          <w:rtl w:val="0"/>
        </w:rPr>
        <w:t xml:space="preserve">  </w:t>
      </w:r>
    </w:p>
    <w:p w:rsidR="00000000" w:rsidDel="00000000" w:rsidP="00000000" w:rsidRDefault="00000000" w:rsidRPr="00000000" w14:paraId="0000000A">
      <w:pPr>
        <w:numPr>
          <w:ilvl w:val="0"/>
          <w:numId w:val="2"/>
        </w:numPr>
        <w:spacing w:after="240" w:before="240" w:lineRule="auto"/>
        <w:ind w:left="720" w:hanging="360"/>
      </w:pPr>
      <w:r w:rsidDel="00000000" w:rsidR="00000000" w:rsidRPr="00000000">
        <w:rPr>
          <w:rtl w:val="0"/>
        </w:rPr>
        <w:t xml:space="preserve">High‑risk and GPAI systems must maintain technical documentation, logs, and traceability of behavior and outcomes; frameworks emphasize immutable or auditable records of system operation, aligning directly with your audit subsystem that records every Mint Unit state, protocol path, and outcome in an immutable ledger.</w:t>
      </w:r>
    </w:p>
    <w:p w:rsidR="00000000" w:rsidDel="00000000" w:rsidP="00000000" w:rsidRDefault="00000000" w:rsidRPr="00000000" w14:paraId="0000000B">
      <w:pPr>
        <w:rPr/>
      </w:pPr>
      <w:r w:rsidDel="00000000" w:rsidR="00000000" w:rsidRPr="00000000">
        <w:rPr>
          <w:b w:val="1"/>
          <w:bCs w:val="1"/>
          <w:rtl w:val="0"/>
        </w:rPr>
        <w:t xml:space="preserve">Governance as a legal requirement (governance layer as first‑class):</w:t>
      </w:r>
      <w:r w:rsidDel="00000000" w:rsidR="00000000" w:rsidRPr="00000000">
        <w:rPr>
          <w:rtl w:val="0"/>
        </w:rPr>
        <w:t xml:space="preserve">  </w:t>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rtl w:val="0"/>
        </w:rPr>
        <w:t xml:space="preserve">AI governance has shifted from voluntary ethics to binding legal obligation: organizations must identify and assess AI risks, assign accountability, and maintain oversight throughout deployment and use. Governance is no longer “nice to have”; it is a mandatory control plane over the lifecycle—structurally equivalent to your validation, routing, and supervisory layers.</w:t>
      </w:r>
    </w:p>
    <w:p w:rsidR="00000000" w:rsidDel="00000000" w:rsidP="00000000" w:rsidRDefault="00000000" w:rsidRPr="00000000" w14:paraId="0000000D">
      <w:pPr>
        <w:rPr/>
      </w:pPr>
      <w:r w:rsidDel="00000000" w:rsidR="00000000" w:rsidRPr="00000000">
        <w:rPr>
          <w:b w:val="1"/>
          <w:bCs w:val="1"/>
          <w:rtl w:val="0"/>
        </w:rPr>
        <w:t xml:space="preserve">Timeline pressure (when lifecycle governance becomes enforceable):</w:t>
      </w:r>
      <w:r w:rsidDel="00000000" w:rsidR="00000000" w:rsidRPr="00000000">
        <w:rPr>
          <w:rtl w:val="0"/>
        </w:rPr>
        <w:t xml:space="preserve">  </w:t>
      </w:r>
    </w:p>
    <w:p w:rsidR="00000000" w:rsidDel="00000000" w:rsidP="00000000" w:rsidRDefault="00000000" w:rsidRPr="00000000" w14:paraId="0000000E">
      <w:pPr>
        <w:numPr>
          <w:ilvl w:val="0"/>
          <w:numId w:val="2"/>
        </w:numPr>
        <w:spacing w:after="240" w:before="240" w:lineRule="auto"/>
        <w:ind w:left="720" w:hanging="360"/>
      </w:pPr>
      <w:r w:rsidDel="00000000" w:rsidR="00000000" w:rsidRPr="00000000">
        <w:rPr>
          <w:rtl w:val="0"/>
        </w:rPr>
        <w:t xml:space="preserve">Prohibitions on certain AI uses are already in force; general‑purpose AI rules and governance structures must be in place by August 2025; the majority of AI Act rules, including high‑risk lifecycle obligations and transparency rules, start applying from August 2026, with full rollout by 2027 (subject to the Digital Omnibus adjustments). This is the window where your lifecycle substrate becomes most obviously necessary.</w:t>
      </w:r>
    </w:p>
    <w:p w:rsidR="00000000" w:rsidDel="00000000" w:rsidP="00000000" w:rsidRDefault="00000000" w:rsidRPr="00000000" w14:paraId="0000000F">
      <w:pPr>
        <w:rPr/>
      </w:pPr>
      <w:r w:rsidDel="00000000" w:rsidR="00000000" w:rsidRPr="00000000">
        <w:rPr>
          <w:b w:val="1"/>
          <w:bCs w:val="1"/>
          <w:rtl w:val="0"/>
        </w:rPr>
        <w:t xml:space="preserve">Convergence of frameworks into a single governance stack:</w:t>
      </w:r>
      <w:r w:rsidDel="00000000" w:rsidR="00000000" w:rsidRPr="00000000">
        <w:rPr>
          <w:rtl w:val="0"/>
        </w:rPr>
        <w:t xml:space="preserve">  </w:t>
      </w:r>
    </w:p>
    <w:p w:rsidR="00000000" w:rsidDel="00000000" w:rsidP="00000000" w:rsidRDefault="00000000" w:rsidRPr="00000000" w14:paraId="00000010">
      <w:pPr>
        <w:numPr>
          <w:ilvl w:val="0"/>
          <w:numId w:val="2"/>
        </w:numPr>
        <w:spacing w:after="240" w:before="240" w:lineRule="auto"/>
        <w:ind w:left="720" w:hanging="360"/>
      </w:pPr>
      <w:r w:rsidDel="00000000" w:rsidR="00000000" w:rsidRPr="00000000">
        <w:rPr>
          <w:rtl w:val="0"/>
        </w:rPr>
        <w:t xml:space="preserve">Comparative analyses now explicitly treat EU AI Act (law), NIST AI RMF (risk‑management method), and ISO/IEC 42001 (certifiable management system) as complementary layers of one governance architecture—i.e., a unified control system over AI lifecycle behavior, not three unrelated documents. That is functionally identical to a multi‑layer protocol stack governing Mint Units across validation, routing, execution, and audit.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irws4uiwj2p" w:id="2"/>
      <w:bookmarkEnd w:id="2"/>
      <w:r w:rsidDel="00000000" w:rsidR="00000000" w:rsidRPr="00000000">
        <w:rPr>
          <w:b w:val="1"/>
          <w:bCs w:val="1"/>
          <w:color w:val="000000"/>
          <w:sz w:val="26"/>
          <w:szCs w:val="26"/>
          <w:rtl w:val="0"/>
        </w:rPr>
        <w:t xml:space="preserve">What to turn into relics (concrete data points)</w:t>
      </w:r>
    </w:p>
    <w:p w:rsidR="00000000" w:rsidDel="00000000" w:rsidP="00000000" w:rsidRDefault="00000000" w:rsidRPr="00000000" w14:paraId="00000012">
      <w:pPr>
        <w:spacing w:after="240" w:before="240" w:lineRule="auto"/>
        <w:rPr/>
      </w:pPr>
      <w:r w:rsidDel="00000000" w:rsidR="00000000" w:rsidRPr="00000000">
        <w:rPr>
          <w:rtl w:val="0"/>
        </w:rPr>
        <w:t xml:space="preserve">If you’re creating relics, these are the specific anchors worth capturing:</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EU AI Act lifecycle &amp; risk structure:</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Four risk tiers and their obligations (unacceptable, high, limited, minimal).</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Lifecycle‑wide duties for deployers: evidence of use, monitoring, logging, escalation.</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Implementation timeline: 2025 prohibitions, 2026 main rules, 2027 full rollout (with Omnibus adjustments).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NIST AI RMF + ISO/IEC 42001 as lifecycle governance machinery:</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NIST’s four functions (Govern, Map, Measure, Manage) as a continuous lifecycle loop.</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ISO/IEC 42001 as a certifiable AI management system proving governance is implemented in practice.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Evidence gaps and downstream control focus:</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IAPP analysis showing deployers consistently miss evidence on monitoring, logging, and escalation—i.e., the exact downstream lifecycle you formalized.</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Governance becoming mandatory, not optional:</w:t>
      </w:r>
    </w:p>
    <w:p w:rsidR="00000000" w:rsidDel="00000000" w:rsidP="00000000" w:rsidRDefault="00000000" w:rsidRPr="00000000" w14:paraId="0000001D">
      <w:pPr>
        <w:numPr>
          <w:ilvl w:val="1"/>
          <w:numId w:val="1"/>
        </w:numPr>
        <w:spacing w:after="240" w:before="0" w:beforeAutospacing="0" w:lineRule="auto"/>
        <w:ind w:left="1440" w:hanging="360"/>
      </w:pPr>
      <w:r w:rsidDel="00000000" w:rsidR="00000000" w:rsidRPr="00000000">
        <w:rPr>
          <w:rtl w:val="0"/>
        </w:rPr>
        <w:t xml:space="preserve">Statements that AI governance is now a legal requirement, not just ethics, and that organizations must assign accountability and maintain oversight across the lifecycle.</w:t>
      </w:r>
    </w:p>
    <w:p w:rsidR="00000000" w:rsidDel="00000000" w:rsidP="00000000" w:rsidRDefault="00000000" w:rsidRPr="00000000" w14:paraId="0000001E">
      <w:pPr>
        <w:spacing w:after="240" w:before="240" w:lineRule="auto"/>
        <w:rPr/>
      </w:pPr>
      <w:r w:rsidDel="00000000" w:rsidR="00000000" w:rsidRPr="00000000">
        <w:rPr>
          <w:rtl w:val="0"/>
        </w:rPr>
        <w:t xml:space="preserve">Each of those bullets can be a standalone relic: quote the key sentence, attach the citation, and cross‑map it to the corresponding Mint‑to Logic™ component (validation, Mint Unit, routing, Burn/Limbo/Access/Code, audit).</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