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rPr>
        <w:t>Date: _______________</w:t>
      </w:r>
    </w:p>
    <w:p>
      <w:pPr>
        <w:spacing w:after="40"/>
      </w:pPr>
      <w:r>
        <w:rPr>
          <w:b/>
        </w:rPr>
        <w:t>RE: TERMINATION OF THE TENANCY AGREEMENT</w:t>
      </w:r>
    </w:p>
    <w:p>
      <w:pPr>
        <w:spacing w:after="240"/>
      </w:pPr>
      <w:r>
        <w:rPr>
          <w:b/>
        </w:rPr>
        <w:t>Premises: 69, Jalan Batai Laut 3, Taman Intan, 41300 Klang, Selangor</w:t>
      </w:r>
    </w:p>
    <w:p>
      <w:pPr>
        <w:spacing w:after="200"/>
      </w:pPr>
      <w:r>
        <w:rPr>
          <w:b w:val="0"/>
        </w:rPr>
        <w:t>Referring to the above matter, the Landlord and the Tenant have mutually agreed to terminate the Tenancy Agreement (commencing 1 November 2024) in respect of the premises at 69, Jalan Batai Laut 3, Taman Intan, 41300 Klang, Selangor (“the Premises”), on the following terms and conditions:</w:t>
      </w:r>
    </w:p>
    <w:p>
      <w:pPr>
        <w:spacing w:after="120"/>
      </w:pPr>
      <w:r>
        <w:rPr>
          <w:b w:val="0"/>
        </w:rPr>
        <w:t>1.  The Tenant shall settle the outstanding rental for June 2026 and July 2026, totalling RM 5,400.00 (Ringgit Malaysia Five Thousand Four Hundred Only), being two (2) months’ rent at RM 2,700.00 per month.</w:t>
      </w:r>
    </w:p>
    <w:p>
      <w:pPr>
        <w:spacing w:after="120"/>
      </w:pPr>
      <w:r>
        <w:rPr>
          <w:b w:val="0"/>
        </w:rPr>
        <w:t>2.  The Security Deposit of RM 5,400.00 and the Utilities Deposit of RM 2,700.00, totalling RM 8,100.00 (Ringgit Malaysia Eight Thousand One Hundred Only), shall be forfeited absolutely to the Landlord.</w:t>
      </w:r>
    </w:p>
    <w:p>
      <w:pPr>
        <w:spacing w:after="120"/>
      </w:pPr>
      <w:r>
        <w:rPr>
          <w:b w:val="0"/>
        </w:rPr>
        <w:t>3.  Upon full payment of the rental in Clause 1 and the forfeiture of the deposits in Clause 2, the Tenant shall deliver vacant possession of the Premises and hand over all keys and access cards to the Landlord on or before ______________.</w:t>
      </w:r>
    </w:p>
    <w:p>
      <w:pPr>
        <w:spacing w:after="120"/>
      </w:pPr>
      <w:r>
        <w:rPr>
          <w:b w:val="0"/>
        </w:rPr>
        <w:t>4.  Upon completion of the above, this shall constitute the full and final settlement of all matters arising from the tenancy and the Premises. Neither party shall have any further claim, demand or dispute against the other, whether now or at any time in the future.</w:t>
      </w:r>
    </w:p>
    <w:p>
      <w:pPr>
        <w:spacing w:after="560"/>
      </w:pPr>
      <w:r>
        <w:rPr>
          <w:b w:val="0"/>
        </w:rPr>
        <w:t>5.  The two parties agree that this termination is made by the common and mutual will of both parties.</w:t>
      </w:r>
    </w:p>
    <w:tbl>
      <w:tblPr>
        <w:tblW w:type="auto" w:w="0"/>
        <w:tblLayout w:type="autofit"/>
        <w:tblLook w:firstColumn="1" w:firstRow="1" w:lastColumn="0" w:lastRow="0" w:noHBand="0" w:noVBand="1" w:val="04A0"/>
      </w:tblPr>
      <w:tblGrid>
        <w:gridCol w:w="4320"/>
        <w:gridCol w:w="4320"/>
      </w:tblGrid>
      <w:tr>
        <w:tc>
          <w:tcPr>
            <w:tcW w:type="dxa" w:w="4320"/>
          </w:tcPr>
          <w:p>
            <w:r>
              <w:rPr>
                <w:b/>
              </w:rPr>
              <w:t>First Party – The Landlord</w:t>
            </w:r>
          </w:p>
          <w:p/>
          <w:p>
            <w:r>
              <w:t>_____________________________</w:t>
            </w:r>
          </w:p>
          <w:p>
            <w:r>
              <w:t>Name: YANG YOON FOONG</w:t>
            </w:r>
          </w:p>
          <w:p>
            <w:r>
              <w:t>NRIC: 581101-05-5106</w:t>
            </w:r>
          </w:p>
        </w:tc>
        <w:tc>
          <w:tcPr>
            <w:tcW w:type="dxa" w:w="4320"/>
          </w:tcPr>
          <w:p>
            <w:r>
              <w:rPr>
                <w:b/>
              </w:rPr>
              <w:t>Second Party – The Tenant</w:t>
            </w:r>
          </w:p>
          <w:p/>
          <w:p>
            <w:r>
              <w:t>_____________________________</w:t>
            </w:r>
          </w:p>
          <w:p>
            <w:r>
              <w:t>Name: BRILLIANT TREASURE (M) SDN. BHD.</w:t>
            </w:r>
          </w:p>
          <w:p>
            <w:r>
              <w:t>Company Reg. No.: 201701017171 (1231336-K)</w:t>
            </w:r>
          </w:p>
          <w:p>
            <w:r>
              <w:t>Name / Designation: 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