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b/>
          <w:i w:val="0"/>
          <w:sz w:val="27"/>
        </w:rPr>
        <w:t>ADDENDUM TO THE AGREEMENT TO PURCHASE</w:t>
      </w:r>
    </w:p>
    <w:p>
      <w:pPr>
        <w:spacing w:after="60" w:before="0"/>
        <w:jc w:val="center"/>
      </w:pPr>
      <w:r>
        <w:rPr>
          <w:b/>
          <w:i w:val="0"/>
          <w:sz w:val="22"/>
        </w:rPr>
        <w:t>Additional and Amended Conditions</w:t>
      </w:r>
    </w:p>
    <w:p>
      <w:pPr>
        <w:spacing w:after="20" w:before="0"/>
        <w:jc w:val="center"/>
      </w:pPr>
      <w:r>
        <w:rPr>
          <w:b/>
          <w:i w:val="0"/>
          <w:sz w:val="21"/>
        </w:rPr>
        <w:t>ATP(K) Ref: ELOFS02940</w:t>
      </w:r>
    </w:p>
    <w:p>
      <w:pPr>
        <w:spacing w:after="20" w:before="0"/>
        <w:jc w:val="center"/>
      </w:pPr>
      <w:r>
        <w:rPr>
          <w:b w:val="0"/>
          <w:i w:val="0"/>
          <w:sz w:val="19"/>
        </w:rPr>
        <w:t>Property: B-18-01, Hijauan Kiara, 6, Jln Kiara 5, Mont Kiara, 50480 Kuala Lumpur</w:t>
      </w:r>
    </w:p>
    <w:p>
      <w:pPr>
        <w:spacing w:after="200" w:before="0"/>
        <w:jc w:val="center"/>
      </w:pPr>
      <w:r>
        <w:rPr>
          <w:b w:val="0"/>
          <w:i w:val="0"/>
          <w:sz w:val="19"/>
        </w:rPr>
        <w:t>Vendor: Runa Shrivastava     Purchaser: Dr. Schoningh Ingo Wilhelm</w:t>
      </w:r>
    </w:p>
    <w:p>
      <w:pPr>
        <w:spacing w:after="200" w:before="0"/>
      </w:pPr>
      <w:r>
        <w:rPr>
          <w:b w:val="0"/>
          <w:i w:val="0"/>
          <w:sz w:val="20"/>
        </w:rPr>
        <w:t>This Addendum forms part of, and shall be read together with, the Agreement to Purchase ATP(K) Ref ELOFS02940 in respect of the above Property ("the ATP"). Where there is any conflict between this Addendum and the printed Other Conditions of the ATP, this Addendum shall prevail. This Addendum is to be initialled by both parties.</w:t>
      </w:r>
    </w:p>
    <w:p>
      <w:pPr>
        <w:spacing w:after="160"/>
      </w:pPr>
      <w:r>
        <w:rPr>
          <w:b/>
          <w:sz w:val="21"/>
        </w:rPr>
        <w:t xml:space="preserve">1. Inspection (replaces Clause 6.3).  </w:t>
      </w:r>
      <w:r>
        <w:rPr>
          <w:sz w:val="21"/>
        </w:rPr>
        <w:t>The Purchaser may inspect the plumbing, electrical and structural condition of the Property before the signing of the SPA, at the Purchaser’s own cost. If defects with an aggregate repair cost exceeding RM10,000.00 are found, the Vendor shall, within seven (7) days of receipt of the quote, elect to rectify the defects before completion or to reduce the Purchase Price by the amount of the Purchaser’s contractor’s quote (prepared from the inspection report), failing which the Purchaser may terminate this Agreement and the earnest deposit shall be refunded in full, free of interest.</w:t>
      </w:r>
    </w:p>
    <w:p>
      <w:pPr>
        <w:spacing w:after="160"/>
      </w:pPr>
      <w:r>
        <w:rPr>
          <w:b/>
          <w:sz w:val="21"/>
        </w:rPr>
        <w:t xml:space="preserve">2. Possession and tenancy (amends Clause 3).  </w:t>
      </w:r>
      <w:r>
        <w:rPr>
          <w:sz w:val="21"/>
        </w:rPr>
        <w:t>The Purchaser shall take over the existing tenancy if it subsists at completion. If the tenancy has expired or been determined before completion, the Vendor shall deliver vacant possession, together with the completed move-out inventory and either the tenant’s security deposit (RM10,000.00) and utilities deposit (RM2,500.00), or evidence of any deductions applied.</w:t>
      </w:r>
    </w:p>
    <w:p>
      <w:pPr>
        <w:spacing w:after="160"/>
      </w:pPr>
      <w:r>
        <w:rPr>
          <w:b/>
          <w:sz w:val="21"/>
        </w:rPr>
        <w:t xml:space="preserve">3. Tenancy term, no further renewal.  </w:t>
      </w:r>
      <w:r>
        <w:rPr>
          <w:sz w:val="21"/>
        </w:rPr>
        <w:t>The existing tenancy shall not be renewed or extended beyond 31 March 2027. The Vendor shall procure the tenant’s written confirmation that the renewal option under the tenancy will not be exercised and that the tenancy shall end no later than 31 March 2027 with no further renewal, so that possession reverts to the Purchaser accordingly.</w:t>
      </w:r>
    </w:p>
    <w:p>
      <w:pPr>
        <w:spacing w:after="160"/>
      </w:pPr>
      <w:r>
        <w:rPr>
          <w:b/>
          <w:sz w:val="21"/>
        </w:rPr>
        <w:t xml:space="preserve">4. Inventory.  </w:t>
      </w:r>
      <w:r>
        <w:rPr>
          <w:sz w:val="21"/>
        </w:rPr>
        <w:t>All items in the inventory list annexed to this Agreement shall pass to the Purchaser on completion as part of the sale. The annexed inventory list shall be initialled by both parties.</w:t>
      </w:r>
    </w:p>
    <w:p>
      <w:pPr>
        <w:spacing w:after="160"/>
      </w:pPr>
      <w:r>
        <w:rPr>
          <w:b/>
          <w:sz w:val="21"/>
        </w:rPr>
        <w:t xml:space="preserve">5. Time for execution of the SPA (amends Clause 4).  </w:t>
      </w:r>
      <w:r>
        <w:rPr>
          <w:sz w:val="21"/>
        </w:rPr>
        <w:t>The 21 working days for execution of the SPA under Clause 4 shall run from the date the outstanding conditions under Clause 6 are satisfied, and the earnest deposit shall not be forfeited under Clause 4 where the delay arises from a condition under Clause 6 that is not within the Purchaser’s control.</w:t>
      </w:r>
    </w:p>
    <w:p>
      <w:pPr>
        <w:spacing w:after="160"/>
      </w:pPr>
      <w:r>
        <w:rPr>
          <w:b/>
          <w:sz w:val="21"/>
        </w:rPr>
        <w:t xml:space="preserve">6. Apportionment.  </w:t>
      </w:r>
      <w:r>
        <w:rPr>
          <w:sz w:val="21"/>
        </w:rPr>
        <w:t>Service charge, sinking fund, quit rent (cukai tanah) and assessment (cukai pintu) shall be apportioned as at the completion date, the Vendor bearing them up to completion and the Purchaser from completion onward.</w:t>
      </w:r>
    </w:p>
    <w:p>
      <w:pPr>
        <w:spacing w:after="160"/>
      </w:pPr>
      <w:r>
        <w:rPr>
          <w:b/>
          <w:sz w:val="21"/>
        </w:rPr>
        <w:t xml:space="preserve">7. Vendor’s capacity.  </w:t>
      </w:r>
      <w:r>
        <w:rPr>
          <w:sz w:val="21"/>
        </w:rPr>
        <w:t>The Vendor represents that she is legally entitled to sell and deal with the Property, and shall be named in this Agreement and the SPA in her correct capacity (as registered proprietor, or as administrator of the estate of the late Mr Shrivastava) as confirmed in writing by the Vendor’s solicitor.</w:t>
      </w:r>
    </w:p>
    <w:p>
      <w:pPr>
        <w:spacing w:after="120" w:before="0"/>
      </w:pPr>
      <w:r>
        <w:rPr>
          <w:b w:val="0"/>
          <w:i/>
          <w:sz w:val="18"/>
        </w:rPr>
        <w:t>Note: The State Foreign Consent long-stop (refusal or non-obtainment within 3 months, with the Purchaser’s right to terminate and a full refund) is already set out in Other Condition 2 of the ATP and is not repeated here.</w:t>
      </w:r>
    </w:p>
    <w:p>
      <w:pPr>
        <w:spacing w:after="360" w:before="0"/>
      </w:pPr>
      <w:r>
        <w:rPr>
          <w:b w:val="0"/>
          <w:i w:val="0"/>
          <w:sz w:val="20"/>
        </w:rPr>
        <w:t>All other terms and conditions of the ATP remain unchanged and in full force.</w:t>
      </w:r>
    </w:p>
    <w:tbl>
      <w:tblPr>
        <w:tblW w:type="auto" w:w="0"/>
        <w:tblLayout w:type="autofit"/>
        <w:tblLook w:firstColumn="1" w:firstRow="1" w:lastColumn="0" w:lastRow="0" w:noHBand="0" w:noVBand="1" w:val="04A0"/>
      </w:tblPr>
      <w:tblGrid>
        <w:gridCol w:w="4896"/>
        <w:gridCol w:w="4896"/>
      </w:tblGrid>
      <w:tr>
        <w:tc>
          <w:tcPr>
            <w:tcW w:type="dxa" w:w="4896"/>
          </w:tcPr>
          <w:p>
            <w:r>
              <w:rPr>
                <w:b/>
              </w:rPr>
              <w:t>THE VENDOR</w:t>
            </w:r>
          </w:p>
          <w:p>
            <w:pPr>
              <w:spacing w:after="60"/>
            </w:pPr>
          </w:p>
          <w:p>
            <w:pPr>
              <w:spacing w:after="60"/>
            </w:pPr>
            <w:r>
              <w:t>Signature: ____________________</w:t>
            </w:r>
          </w:p>
          <w:p>
            <w:pPr>
              <w:spacing w:after="60"/>
            </w:pPr>
            <w:r>
              <w:t>Name: Runa Shrivastava</w:t>
            </w:r>
          </w:p>
          <w:p>
            <w:pPr>
              <w:spacing w:after="60"/>
            </w:pPr>
            <w:r>
              <w:t>Date: ________________________</w:t>
            </w:r>
          </w:p>
        </w:tc>
        <w:tc>
          <w:tcPr>
            <w:tcW w:type="dxa" w:w="4896"/>
          </w:tcPr>
          <w:p>
            <w:r>
              <w:rPr>
                <w:b/>
              </w:rPr>
              <w:t>THE PURCHASER</w:t>
            </w:r>
          </w:p>
          <w:p>
            <w:pPr>
              <w:spacing w:after="60"/>
            </w:pPr>
          </w:p>
          <w:p>
            <w:pPr>
              <w:spacing w:after="60"/>
            </w:pPr>
            <w:r>
              <w:t>Signature: ____________________</w:t>
            </w:r>
          </w:p>
          <w:p>
            <w:pPr>
              <w:spacing w:after="60"/>
            </w:pPr>
            <w:r>
              <w:t>Name: Dr. Schoningh Ingo Wilhelm</w:t>
            </w:r>
          </w:p>
          <w:p>
            <w:pPr>
              <w:spacing w:after="60"/>
            </w:pPr>
            <w:r>
              <w:t>Date: ________________________</w:t>
            </w:r>
          </w:p>
        </w:tc>
      </w:tr>
    </w:tbl>
    <w:sectPr w:rsidR="00FC693F" w:rsidRPr="0006063C" w:rsidSect="00034616">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