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—gacetillas, publicaciones para redes sociales, correos y confirmaciones, y certificados— dentro del Proceso 4.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y fail-closed. Los modelos corren en infraestructura propia y el agente falla cerrado en cada frontera: lo que no cumple se rechaza antes de generar, escribir o tocar el registro. La auditoría guarda códigos, conteos y hashes, nunca contenido ni datos personales en claro.</w:t>
      </w:r>
    </w:p>
    <w:p>
      <w:r>
        <w:t>• Sistema de demostración sin capacidades detenidas. El sistema corre en la laptop del autor con modelo local y sobre Google Workspace D2 con la cuenta técnica. Lo que depende de un tercero —plantillas, firmas, política de redes, identidad del personal, host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(commit de base 98be859, 12/10/2026). La nota sobre fechas y estado verificado del anteproyecto conserva el corte del 21/09/2026; cuando uno y otro citan un número, corresponde a su propia fecha, y la revisión de laboratorio evalúa la foto de este anexo.</w:t>
      </w:r>
    </w:p>
    <w:p>
      <w:r>
        <w:t>Demostrado sobre el sistema de demostración. El sistema corre de punta a punta en la laptop del autor con modelo local (Ollama) y sobre Google Workspace D2 con la cuenta técnica; la corrida live del 28/09/2026 quedó verificada con smoke de lectura, casos negativos y un extremo a extremo de gacetilla cuyo borrador real quedó en la carpeta autorizada, sin modificar nada existente. HU-010 a HU-014 están implementadas dentro del alcance declarado —gacetilla,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La ejecución live de los canales y del registro de decisiones como paso de la revisión: la evidencia versionada es offline y las corridas live se declaran como paso.</w:t>
      </w:r>
    </w:p>
    <w:p>
      <w:r>
        <w:t>• La operación sobre el host D3: no hay ejecución live porque el host todavía no llegó (DEF-A1-001 parcial).</w:t>
      </w:r>
    </w:p>
    <w:p>
      <w:r>
        <w:t>• Los niveles verificados de los SLO —disponibilidad, latencia por pieza, utilización de recursos, tiempo de atención y aprobación a envío— no tienen medición a la fecha (issues #50, #51 y #88);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técnica abierta de HU-011. El contrato creativo de redacción libre para los posts todavía no supera el control de contenido: el gate detecta hechos de la fuente filtrados al texto creativo y registro lingüístico no rioplatense, de modo que la variedad comunicacional depende de criterios editoriales que la SEU aún no definió. El nivel medido de conformidad al gate en redacción libre es de 1/6 con llama3.2:3b y 4/6 con llama3.1:8b (23/09/2026); el incumplimiento residual es de obediencia del modelo, lo contienen el gate fail-closed y la validación humana obligatoria, y la medición se refresca con el modelo definitivo (issue #51).</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p>
      <w:r>
        <w:t>Canal</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Canal</w:t>
            </w:r>
          </w:p>
        </w:tc>
      </w:tr>
      <w:tr>
        <w:tc>
          <w:tcPr>
            <w:tcW w:type="dxa" w:w="2835"/>
          </w:tcPr>
          <w:p>
            <w:r>
              <w:t>Atributo</w:t>
            </w:r>
          </w:p>
        </w:tc>
        <w:tc>
          <w:tcPr>
            <w:tcW w:type="dxa" w:w="2835"/>
          </w:tcPr>
          <w:p>
            <w:r>
              <w:t>Estado</w:t>
            </w:r>
          </w:p>
        </w:tc>
        <w:tc>
          <w:tcPr>
            <w:tcW w:type="dxa" w:w="2835"/>
          </w:tcPr>
          <w:p>
            <w:r>
              <w:t>Motivo</w:t>
            </w:r>
          </w:p>
        </w:tc>
      </w:tr>
      <w:tr>
        <w:tc>
          <w:tcPr>
            <w:tcW w:type="dxa" w:w="2835"/>
          </w:tcPr>
          <w:p>
            <w:r>
              <w:t>Capacidad de interacción · Protección contra errores del usuario</w:t>
            </w:r>
          </w:p>
        </w:tc>
        <w:tc>
          <w:tcPr>
            <w:tcW w:type="dxa" w:w="2835"/>
          </w:tcPr>
          <w:p>
            <w:r>
              <w:t>A</w:t>
            </w:r>
          </w:p>
        </w:tc>
        <w:tc>
          <w:tcPr>
            <w:tcW w:type="dxa" w:w="2835"/>
          </w:tcPr>
          <w:p>
            <w: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t>Capacidad de interacción · Transparencia (25059)</w:t>
            </w:r>
          </w:p>
        </w:tc>
        <w:tc>
          <w:tcPr>
            <w:tcW w:type="dxa" w:w="2835"/>
          </w:tcPr>
          <w:p>
            <w:r>
              <w:t>A</w:t>
            </w:r>
          </w:p>
        </w:tc>
        <w:tc>
          <w:tcPr>
            <w:tcW w:type="dxa" w:w="2835"/>
          </w:tcPr>
          <w:p>
            <w:r>
              <w:t>La prosa del pedido no se persiste en claro: ni en el registro de atendidos, ni en el aviso, ni en el link de repregunta</w:t>
            </w:r>
          </w:p>
        </w:tc>
      </w:tr>
      <w:tr>
        <w:tc>
          <w:tcPr>
            <w:tcW w:type="dxa" w:w="2835"/>
          </w:tcPr>
          <w:p>
            <w:r>
              <w:t>Fiabilidad · Robustez (25059)</w:t>
            </w:r>
          </w:p>
        </w:tc>
        <w:tc>
          <w:tcPr>
            <w:tcW w:type="dxa" w:w="2835"/>
          </w:tcPr>
          <w:p>
            <w:r>
              <w:t>A</w:t>
            </w:r>
          </w:p>
        </w:tc>
        <w:tc>
          <w:tcPr>
            <w:tcW w:type="dxa" w:w="2835"/>
          </w:tcPr>
          <w:p>
            <w:r>
              <w:t>La prosa externa es dato, nunca instrucción: un intento de inyección produce una intención válida o un rechazo y no llega al prompt del generador; un registro corrupto frena la lectura</w:t>
            </w:r>
          </w:p>
        </w:tc>
      </w:tr>
      <w:tr>
        <w:tc>
          <w:tcPr>
            <w:tcW w:type="dxa" w:w="2835"/>
          </w:tcPr>
          <w:p>
            <w:r>
              <w:t>Compatibilidad · Interoperabilidad</w:t>
            </w:r>
          </w:p>
        </w:tc>
        <w:tc>
          <w:tcPr>
            <w:tcW w:type="dxa" w:w="2835"/>
          </w:tcPr>
          <w:p>
            <w:r>
              <w:t>B</w:t>
            </w:r>
          </w:p>
        </w:tc>
        <w:tc>
          <w:tcPr>
            <w:tcW w:type="dxa" w:w="2835"/>
          </w:tcPr>
          <w:p>
            <w:r>
              <w:t>El canal declarado (Form restringido al dominio con correo verificado, leído sólo por su Sheet de respuestas, ADR 0005) está implementado con live de doble opt-in; la ejecución live del canal queda como paso declarado, la evidencia versionada es offline</w:t>
            </w:r>
          </w:p>
        </w:tc>
      </w:tr>
      <w:tr>
        <w:tc>
          <w:tcPr>
            <w:tcW w:type="dxa" w:w="2835"/>
          </w:tcPr>
          <w:p>
            <w:r>
              <w:t>Calidad de datos (25012) · Exactitud sintáctica</w:t>
            </w:r>
          </w:p>
        </w:tc>
        <w:tc>
          <w:tcPr>
            <w:tcW w:type="dxa" w:w="2835"/>
          </w:tcPr>
          <w:p>
            <w:r>
              <w:t>A</w:t>
            </w:r>
          </w:p>
        </w:tc>
        <w:tc>
          <w:tcPr>
            <w:tcW w:type="dxa" w:w="2835"/>
          </w:tcPr>
          <w:p>
            <w:r>
              <w:t>La hoja de respuestas se lee por posición de columna con el lector crudo; una respuesta sin values, un JSON roto o un token inválido se rechazan antes de interpretar</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Interpretación</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Interpretación</w:t>
            </w:r>
          </w:p>
        </w:tc>
      </w:tr>
      <w:tr>
        <w:tc>
          <w:tcPr>
            <w:tcW w:type="dxa" w:w="2835"/>
          </w:tcPr>
          <w:p>
            <w:r>
              <w:t>Atributo</w:t>
            </w:r>
          </w:p>
        </w:tc>
        <w:tc>
          <w:tcPr>
            <w:tcW w:type="dxa" w:w="2835"/>
          </w:tcPr>
          <w:p>
            <w:r>
              <w:t>Estado</w:t>
            </w:r>
          </w:p>
        </w:tc>
        <w:tc>
          <w:tcPr>
            <w:tcW w:type="dxa" w:w="2835"/>
          </w:tcPr>
          <w:p>
            <w:r>
              <w:t>Motivo</w:t>
            </w:r>
          </w:p>
        </w:tc>
      </w:tr>
      <w:tr>
        <w:tc>
          <w:tcPr>
            <w:tcW w:type="dxa" w:w="2835"/>
          </w:tcPr>
          <w:p>
            <w:r>
              <w:t>Adecuación funcional · Corrección del sistema</w:t>
            </w:r>
          </w:p>
        </w:tc>
        <w:tc>
          <w:tcPr>
            <w:tcW w:type="dxa" w:w="2835"/>
          </w:tcPr>
          <w:p>
            <w:r>
              <w:t>A</w:t>
            </w:r>
          </w:p>
        </w:tc>
        <w:tc>
          <w:tcPr>
            <w:tcW w:type="dxa" w:w="2835"/>
          </w:tcPr>
          <w:p>
            <w:r>
              <w:t>La solicitud se clasifica a una intención del catálogo cerrado vigente (intenciones_v3, PROVISIONAL_NO_INSTITUCIONAL) o se rechaza; nunca se aproxima a la más parecida; el contenido de la planilla de actividades no llega al prompt del intérprete</w:t>
            </w:r>
          </w:p>
        </w:tc>
      </w:tr>
      <w:tr>
        <w:tc>
          <w:tcPr>
            <w:tcW w:type="dxa" w:w="2835"/>
          </w:tcPr>
          <w:p>
            <w:r>
              <w:t>Adecuación funcional · Pertinencia funcional</w:t>
            </w:r>
          </w:p>
        </w:tc>
        <w:tc>
          <w:tcPr>
            <w:tcW w:type="dxa" w:w="2835"/>
          </w:tcPr>
          <w:p>
            <w:r>
              <w:t>A</w:t>
            </w:r>
          </w:p>
        </w:tc>
        <w:tc>
          <w:tcPr>
            <w:tcW w:type="dxa" w:w="2835"/>
          </w:tcPr>
          <w:p>
            <w:r>
              <w:t>El catálogo declara exactamente las operaciones del alcance (gacetilla, post, plantilla por actividad, emisión de certificados, ajuste, newsletter, mail); cualquier otra solicitud termina INVALIDA o RECHAZADA</w:t>
            </w:r>
          </w:p>
        </w:tc>
      </w:tr>
      <w:tr>
        <w:tc>
          <w:tcPr>
            <w:tcW w:type="dxa" w:w="2835"/>
          </w:tcPr>
          <w:p>
            <w:r>
              <w:t>Fiabilidad · Robustez (25059)</w:t>
            </w:r>
          </w:p>
        </w:tc>
        <w:tc>
          <w:tcPr>
            <w:tcW w:type="dxa" w:w="2835"/>
          </w:tcPr>
          <w:p>
            <w:r>
              <w:t>A</w:t>
            </w:r>
          </w:p>
        </w:tc>
        <w:tc>
          <w:tcPr>
            <w:tcW w:type="dxa" w:w="2835"/>
          </w:tcPr>
          <w:p>
            <w: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t>Capacidad de interacción · Transparencia (25059)</w:t>
            </w:r>
          </w:p>
        </w:tc>
        <w:tc>
          <w:tcPr>
            <w:tcW w:type="dxa" w:w="2835"/>
          </w:tcPr>
          <w:p>
            <w:r>
              <w:t>A</w:t>
            </w:r>
          </w:p>
        </w:tc>
        <w:tc>
          <w:tcPr>
            <w:tcW w:type="dxa" w:w="2835"/>
          </w:tcPr>
          <w:p>
            <w:r>
              <w:t>El registro de interacciones conserva sólo el derivado estructurado; la interacción pendiente guarda lo que produjo el agente, nunca prosa del pedido</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Generación</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Generación</w:t>
            </w:r>
          </w:p>
        </w:tc>
      </w:tr>
      <w:tr>
        <w:tc>
          <w:tcPr>
            <w:tcW w:type="dxa" w:w="2835"/>
          </w:tcPr>
          <w:p>
            <w:r>
              <w:t>Atributo</w:t>
            </w:r>
          </w:p>
        </w:tc>
        <w:tc>
          <w:tcPr>
            <w:tcW w:type="dxa" w:w="2835"/>
          </w:tcPr>
          <w:p>
            <w:r>
              <w:t>Estado</w:t>
            </w:r>
          </w:p>
        </w:tc>
        <w:tc>
          <w:tcPr>
            <w:tcW w:type="dxa" w:w="2835"/>
          </w:tcPr>
          <w:p>
            <w:r>
              <w:t>Motivo</w:t>
            </w:r>
          </w:p>
        </w:tc>
      </w:tr>
      <w:tr>
        <w:tc>
          <w:tcPr>
            <w:tcW w:type="dxa" w:w="2835"/>
          </w:tcPr>
          <w:p>
            <w:r>
              <w:t>Adecuación funcional · Completitud funcional</w:t>
            </w:r>
          </w:p>
        </w:tc>
        <w:tc>
          <w:tcPr>
            <w:tcW w:type="dxa" w:w="2835"/>
          </w:tcPr>
          <w:p>
            <w:r>
              <w:t>A</w:t>
            </w:r>
          </w:p>
        </w:tc>
        <w:tc>
          <w:tcPr>
            <w:tcW w:type="dxa" w:w="2835"/>
          </w:tcPr>
          <w:p>
            <w:r>
              <w:t>HU-010 a HU-014 implementadas dentro del alcance declarado: gacetilla, post (v2 y v3), plantilla de correo por actividad y certificado con línea descriptiva y circuito de lote; los insumos provisionales se declaran y no bajan el estado</w:t>
            </w:r>
          </w:p>
        </w:tc>
      </w:tr>
      <w:tr>
        <w:tc>
          <w:tcPr>
            <w:tcW w:type="dxa" w:w="2835"/>
          </w:tcPr>
          <w:p>
            <w:r>
              <w:t>Adecuación funcional · Corrección del contenido generado (25059)</w:t>
            </w:r>
          </w:p>
        </w:tc>
        <w:tc>
          <w:tcPr>
            <w:tcW w:type="dxa" w:w="2835"/>
          </w:tcPr>
          <w:p>
            <w:r>
              <w:t>B</w:t>
            </w:r>
          </w:p>
        </w:tc>
        <w:tc>
          <w:tcPr>
            <w:tcW w:type="dxa" w:w="2835"/>
          </w:tcPr>
          <w:p>
            <w:r>
              <w:t>Nivel verificado de conformidad al gate: HU-010 con 6/6 borradores conformes (corte del 08/09); HU-011 v3 con redacción libre: 1/6 con llama3.2:3b y 4/6 con llama3.1:8b (23/09). El incumplimiento residual es de obediencia del modelo y lo contiene el gate fail-closed más la validación humana obligatoria. PENDIENTE #51: el modelo definitivo refresca la medición</w:t>
            </w:r>
          </w:p>
        </w:tc>
      </w:tr>
      <w:tr>
        <w:tc>
          <w:tcPr>
            <w:tcW w:type="dxa" w:w="2835"/>
          </w:tcPr>
          <w:p>
            <w:r>
              <w:t>Fiabilidad · Robustez (25059)</w:t>
            </w:r>
          </w:p>
        </w:tc>
        <w:tc>
          <w:tcPr>
            <w:tcW w:type="dxa" w:w="2835"/>
          </w:tcPr>
          <w:p>
            <w:r>
              <w:t>A</w:t>
            </w:r>
          </w:p>
        </w:tc>
        <w:tc>
          <w:tcPr>
            <w:tcW w:type="dxa" w:w="2835"/>
          </w:tcPr>
          <w:p>
            <w: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835"/>
          </w:tcPr>
          <w:p>
            <w:r>
              <w:t>Eficiencia de desempeño · Comportamiento temporal</w:t>
            </w:r>
          </w:p>
        </w:tc>
        <w:tc>
          <w:tcPr>
            <w:tcW w:type="dxa" w:w="2835"/>
          </w:tcPr>
          <w:p>
            <w:r>
              <w:t>C</w:t>
            </w:r>
          </w:p>
        </w:tc>
        <w:tc>
          <w:tcPr>
            <w:tcW w:type="dxa" w:w="2835"/>
          </w:tcPr>
          <w:p>
            <w:r>
              <w:t>Los SLO de comportamiento temporal no tienen nivel verificado a la fecha: latencia por pieza con objetivo pendiente de la medición de #50 sobre el modelo de #51; tiempo de atención (Form a aviso, p95 menor o igual al intervalo de sondeo más 5 min) y aprobación a envío (p95 menor o igual a dos sondeos) con medición pendiente de #88. Mediciones históricas, que no verifican el SLO: benchmark del 26/08 con p50 entre 19,5 y 21,3 s por generación; live D2 del 28/09 con 18,6 s en caliente y timeouts a 45 s en frío. PENDIENTE #50, #51, #88</w:t>
            </w:r>
          </w:p>
        </w:tc>
      </w:tr>
      <w:tr>
        <w:tc>
          <w:tcPr>
            <w:tcW w:type="dxa" w:w="2835"/>
          </w:tcPr>
          <w:p>
            <w:r>
              <w:t>Eficiencia de desempeño · Utilización de recursos</w:t>
            </w:r>
          </w:p>
        </w:tc>
        <w:tc>
          <w:tcPr>
            <w:tcW w:type="dxa" w:w="2835"/>
          </w:tcPr>
          <w:p>
            <w:r>
              <w:t>C</w:t>
            </w:r>
          </w:p>
        </w:tc>
        <w:tc>
          <w:tcPr>
            <w:tcW w:type="dxa" w:w="2835"/>
          </w:tcPr>
          <w:p>
            <w:r>
              <w:t>Sin medición versionada de RAM/CPU a la fecha; la aporta #50 sobre el hardware de la demo. PENDIENTE #50</w:t>
            </w:r>
          </w:p>
        </w:tc>
      </w:tr>
      <w:tr>
        <w:tc>
          <w:tcPr>
            <w:tcW w:type="dxa" w:w="2835"/>
          </w:tcPr>
          <w:p>
            <w:r>
              <w:t>Eficiencia de desempeño · Capacidad</w:t>
            </w:r>
          </w:p>
        </w:tc>
        <w:tc>
          <w:tcPr>
            <w:tcW w:type="dxa" w:w="2835"/>
          </w:tcPr>
          <w:p>
            <w:r>
              <w:t>B</w:t>
            </w:r>
          </w:p>
        </w:tc>
        <w:tc>
          <w:tcPr>
            <w:tcW w:type="dxa" w:w="2835"/>
          </w:tcPr>
          <w:p>
            <w:r>
              <w:t>Medido el 26/08 con llama3.2:3b: el volumen informado por la SEU (36 generaciones mensuales) consume entre 701 y 766 s de cómputo a p50, menos del 4 % de una jornada. La medición se rehace con el modelo definitivo de #51. PENDIENTE #51</w:t>
            </w:r>
          </w:p>
        </w:tc>
      </w:tr>
      <w:tr>
        <w:tc>
          <w:tcPr>
            <w:tcW w:type="dxa" w:w="2835"/>
          </w:tcPr>
          <w:p>
            <w:r>
              <w:t>Capacidad de interacción · Transparencia (25059)</w:t>
            </w:r>
          </w:p>
        </w:tc>
        <w:tc>
          <w:tcPr>
            <w:tcW w:type="dxa" w:w="2835"/>
          </w:tcPr>
          <w:p>
            <w:r>
              <w:t>A</w:t>
            </w:r>
          </w:p>
        </w:tc>
        <w:tc>
          <w:tcPr>
            <w:tcW w:type="dxa" w:w="2835"/>
          </w:tcPr>
          <w:p>
            <w:r>
              <w:t>Toda salida es borrador con marca de estado (PENDIENTE_VALIDACION, BORRADOR — NO PUBLICAR); cada generación queda en el log JSONL con correlation id, hashes de fuente, prompt, contrato, política y modelo, y latencia, sin contenido</w:t>
            </w:r>
          </w:p>
        </w:tc>
      </w:tr>
      <w:tr>
        <w:tc>
          <w:tcPr>
            <w:tcW w:type="dxa" w:w="2835"/>
          </w:tcPr>
          <w:p>
            <w:r>
              <w:t>Flexibilidad · Reemplazabilidad</w:t>
            </w:r>
          </w:p>
        </w:tc>
        <w:tc>
          <w:tcPr>
            <w:tcW w:type="dxa" w:w="2835"/>
          </w:tcPr>
          <w:p>
            <w:r>
              <w:t>A</w:t>
            </w:r>
          </w:p>
        </w:tc>
        <w:tc>
          <w:tcPr>
            <w:tcW w:type="dxa" w:w="2835"/>
          </w:tcPr>
          <w:p>
            <w:r>
              <w:t>El generador es un puerto: Ollama local intercambiable (tres modelos medidos con el mismo protocolo el 23/09) y FakeGenerator para regresión determinista</w:t>
            </w:r>
          </w:p>
        </w:tc>
      </w:tr>
      <w:tr>
        <w:tc>
          <w:tcPr>
            <w:tcW w:type="dxa" w:w="2835"/>
          </w:tcPr>
          <w:p>
            <w:r>
              <w:t>Calidad de datos (25012) · Completitud</w:t>
            </w:r>
          </w:p>
        </w:tc>
        <w:tc>
          <w:tcPr>
            <w:tcW w:type="dxa" w:w="2835"/>
          </w:tcPr>
          <w:p>
            <w:r>
              <w:t>A</w:t>
            </w:r>
          </w:p>
        </w:tc>
        <w:tc>
          <w:tcPr>
            <w:tcW w:type="dxa" w:w="2835"/>
          </w:tcPr>
          <w:p>
            <w:r>
              <w:t>Los campos obligatorios se validan antes de generar: una fila de actividad incompleta termina rechazada sin invocar el modelo; una fila incompleta de la lista de cierre bloquea el lote; un plan sin dato obligatorio se rechaza</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Gates</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Gates</w:t>
            </w:r>
          </w:p>
        </w:tc>
      </w:tr>
      <w:tr>
        <w:tc>
          <w:tcPr>
            <w:tcW w:type="dxa" w:w="2835"/>
          </w:tcPr>
          <w:p>
            <w:r>
              <w:t>Atributo</w:t>
            </w:r>
          </w:p>
        </w:tc>
        <w:tc>
          <w:tcPr>
            <w:tcW w:type="dxa" w:w="2835"/>
          </w:tcPr>
          <w:p>
            <w:r>
              <w:t>Estado</w:t>
            </w:r>
          </w:p>
        </w:tc>
        <w:tc>
          <w:tcPr>
            <w:tcW w:type="dxa" w:w="2835"/>
          </w:tcPr>
          <w:p>
            <w:r>
              <w:t>Motivo</w:t>
            </w:r>
          </w:p>
        </w:tc>
      </w:tr>
      <w:tr>
        <w:tc>
          <w:tcPr>
            <w:tcW w:type="dxa" w:w="2835"/>
          </w:tcPr>
          <w:p>
            <w:r>
              <w:t>Adecuación funcional · Corrección del sistema</w:t>
            </w:r>
          </w:p>
        </w:tc>
        <w:tc>
          <w:tcPr>
            <w:tcW w:type="dxa" w:w="2835"/>
          </w:tcPr>
          <w:p>
            <w:r>
              <w:t>A</w:t>
            </w:r>
          </w:p>
        </w:tc>
        <w:tc>
          <w:tcPr>
            <w:tcW w:type="dxa" w:w="2835"/>
          </w:tcPr>
          <w:p>
            <w: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t>Capacidad de interacción · Controlabilidad (25059)</w:t>
            </w:r>
          </w:p>
        </w:tc>
        <w:tc>
          <w:tcPr>
            <w:tcW w:type="dxa" w:w="2835"/>
          </w:tcPr>
          <w:p>
            <w:r>
              <w:t>A</w:t>
            </w:r>
          </w:p>
        </w:tc>
        <w:tc>
          <w:tcPr>
            <w:tcW w:type="dxa" w:w="2835"/>
          </w:tcPr>
          <w:p>
            <w:r>
              <w:t>Nada habilita a ciegas: un tipo fuera del catálogo es INVALIDA, un origen no permitido bloquea el envío y una regla NO_MECANIZABLE no se aplica ni se declara cumplida</w:t>
            </w:r>
          </w:p>
        </w:tc>
      </w:tr>
      <w:tr>
        <w:tc>
          <w:tcPr>
            <w:tcW w:type="dxa" w:w="2835"/>
          </w:tcPr>
          <w:p>
            <w:r>
              <w:t>Fiabilidad · Robustez (25059)</w:t>
            </w:r>
          </w:p>
        </w:tc>
        <w:tc>
          <w:tcPr>
            <w:tcW w:type="dxa" w:w="2835"/>
          </w:tcPr>
          <w:p>
            <w:r>
              <w:t>A</w:t>
            </w:r>
          </w:p>
        </w:tc>
        <w:tc>
          <w:tcPr>
            <w:tcW w:type="dxa" w:w="2835"/>
          </w:tcPr>
          <w:p>
            <w:r>
              <w:t>Una política con regla inválida o desconocida se rechaza al cargar; el estado NO_MECANIZABLE no puede marcarse como conforme</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Control de pagos</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Control de pagos</w:t>
            </w:r>
          </w:p>
        </w:tc>
      </w:tr>
      <w:tr>
        <w:tc>
          <w:tcPr>
            <w:tcW w:type="dxa" w:w="2835"/>
          </w:tcPr>
          <w:p>
            <w:r>
              <w:t>Atributo</w:t>
            </w:r>
          </w:p>
        </w:tc>
        <w:tc>
          <w:tcPr>
            <w:tcW w:type="dxa" w:w="2835"/>
          </w:tcPr>
          <w:p>
            <w:r>
              <w:t>Estado</w:t>
            </w:r>
          </w:p>
        </w:tc>
        <w:tc>
          <w:tcPr>
            <w:tcW w:type="dxa" w:w="2835"/>
          </w:tcPr>
          <w:p>
            <w:r>
              <w:t>Motivo</w:t>
            </w:r>
          </w:p>
        </w:tc>
      </w:tr>
      <w:tr>
        <w:tc>
          <w:tcPr>
            <w:tcW w:type="dxa" w:w="2835"/>
          </w:tcPr>
          <w:p>
            <w:r>
              <w:t>Adecuación funcional · Corrección del sistema</w:t>
            </w:r>
          </w:p>
        </w:tc>
        <w:tc>
          <w:tcPr>
            <w:tcW w:type="dxa" w:w="2835"/>
          </w:tcPr>
          <w:p>
            <w:r>
              <w:t>A</w:t>
            </w:r>
          </w:p>
        </w:tc>
        <w:tc>
          <w:tcPr>
            <w:tcW w:type="dxa" w:w="2835"/>
          </w:tcPr>
          <w:p>
            <w: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t>Fiabilidad · Tolerancia a fallos</w:t>
            </w:r>
          </w:p>
        </w:tc>
        <w:tc>
          <w:tcPr>
            <w:tcW w:type="dxa" w:w="2835"/>
          </w:tcPr>
          <w:p>
            <w:r>
              <w:t>A</w:t>
            </w:r>
          </w:p>
        </w:tc>
        <w:tc>
          <w:tcPr>
            <w:tcW w:type="dxa" w:w="2835"/>
          </w:tcPr>
          <w:p>
            <w:r>
              <w:t>Una fuente inválida (encabezado distinto, columna faltante, fila desalineada) se rechaza entera; un buzón inexistente termina con código controlado; los adjuntos se hashean en memoria</w:t>
            </w:r>
          </w:p>
        </w:tc>
      </w:tr>
      <w:tr>
        <w:tc>
          <w:tcPr>
            <w:tcW w:type="dxa" w:w="2835"/>
          </w:tcPr>
          <w:p>
            <w:r>
              <w:t>Capacidad de interacción · Transparencia (25059)</w:t>
            </w:r>
          </w:p>
        </w:tc>
        <w:tc>
          <w:tcPr>
            <w:tcW w:type="dxa" w:w="2835"/>
          </w:tcPr>
          <w:p>
            <w:r>
              <w:t>A</w:t>
            </w:r>
          </w:p>
        </w:tc>
        <w:tc>
          <w:tcPr>
            <w:tcW w:type="dxa" w:w="2835"/>
          </w:tcPr>
          <w:p>
            <w:r>
              <w:t>El informe sale por stdout en JSON ordenado y nada se persiste (ADR 0003); las novedades aplicadas y las erróneas se informan con código</w:t>
            </w:r>
          </w:p>
        </w:tc>
      </w:tr>
      <w:tr>
        <w:tc>
          <w:tcPr>
            <w:tcW w:type="dxa" w:w="2835"/>
          </w:tcPr>
          <w:p>
            <w:r>
              <w:t>Calidad de datos (25012) · Completitud</w:t>
            </w:r>
          </w:p>
        </w:tc>
        <w:tc>
          <w:tcPr>
            <w:tcW w:type="dxa" w:w="2835"/>
          </w:tcPr>
          <w:p>
            <w:r>
              <w:t>A</w:t>
            </w:r>
          </w:p>
        </w:tc>
        <w:tc>
          <w:tcPr>
            <w:tcW w:type="dxa" w:w="2835"/>
          </w:tcPr>
          <w:p>
            <w:r>
              <w:t>Un plan sin dato obligatorio se rechaza; un padrón o novedad con campos faltantes se rechaza entero; el comprobante sin asociación única se informa como pendiente, no como pago</w:t>
            </w:r>
          </w:p>
        </w:tc>
      </w:tr>
      <w:tr>
        <w:tc>
          <w:tcPr>
            <w:tcW w:type="dxa" w:w="2835"/>
          </w:tcPr>
          <w:p>
            <w:r>
              <w:t>Calidad de datos (25012) · Exactitud sintáctica</w:t>
            </w:r>
          </w:p>
        </w:tc>
        <w:tc>
          <w:tcPr>
            <w:tcW w:type="dxa" w:w="2835"/>
          </w:tcPr>
          <w:p>
            <w:r>
              <w:t>A</w:t>
            </w:r>
          </w:p>
        </w:tc>
        <w:tc>
          <w:tcPr>
            <w:tcW w:type="dxa" w:w="2835"/>
          </w:tcPr>
          <w:p>
            <w: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t>Calidad de datos (25012) · Trazabilidad</w:t>
            </w:r>
          </w:p>
        </w:tc>
        <w:tc>
          <w:tcPr>
            <w:tcW w:type="dxa" w:w="2835"/>
          </w:tcPr>
          <w:p>
            <w:r>
              <w:t>A</w:t>
            </w:r>
          </w:p>
        </w:tc>
        <w:tc>
          <w:tcPr>
            <w:tcW w:type="dxa" w:w="2835"/>
          </w:tcPr>
          <w:p>
            <w:r>
              <w:t>El plan de pago declara procedencia por dato (OBSERVADO_DOCUMENTO, SUPUESTO_TECNICO, DESCONOCIDO); la asociación comprobante-inscripto es por asunto y remitente único y queda registrada con hash</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Aprobación</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Aprobación</w:t>
            </w:r>
          </w:p>
        </w:tc>
      </w:tr>
      <w:tr>
        <w:tc>
          <w:tcPr>
            <w:tcW w:type="dxa" w:w="2835"/>
          </w:tcPr>
          <w:p>
            <w:r>
              <w:t>Atributo</w:t>
            </w:r>
          </w:p>
        </w:tc>
        <w:tc>
          <w:tcPr>
            <w:tcW w:type="dxa" w:w="2835"/>
          </w:tcPr>
          <w:p>
            <w:r>
              <w:t>Estado</w:t>
            </w:r>
          </w:p>
        </w:tc>
        <w:tc>
          <w:tcPr>
            <w:tcW w:type="dxa" w:w="2835"/>
          </w:tcPr>
          <w:p>
            <w:r>
              <w:t>Motivo</w:t>
            </w:r>
          </w:p>
        </w:tc>
      </w:tr>
      <w:tr>
        <w:tc>
          <w:tcPr>
            <w:tcW w:type="dxa" w:w="2835"/>
          </w:tcPr>
          <w:p>
            <w:r>
              <w:t>Capacidad de interacción · Controlabilidad (25059)</w:t>
            </w:r>
          </w:p>
        </w:tc>
        <w:tc>
          <w:tcPr>
            <w:tcW w:type="dxa" w:w="2835"/>
          </w:tcPr>
          <w:p>
            <w:r>
              <w:t>A</w:t>
            </w:r>
          </w:p>
        </w:tc>
        <w:tc>
          <w:tcPr>
            <w:tcW w:type="dxa" w:w="2835"/>
          </w:tcPr>
          <w:p>
            <w: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t>Capacidad de interacción · Intervenibilidad (25059)</w:t>
            </w:r>
          </w:p>
        </w:tc>
        <w:tc>
          <w:tcPr>
            <w:tcW w:type="dxa" w:w="2835"/>
          </w:tcPr>
          <w:p>
            <w:r>
              <w:t>A</w:t>
            </w:r>
          </w:p>
        </w:tc>
        <w:tc>
          <w:tcPr>
            <w:tcW w:type="dxa" w:w="2835"/>
          </w:tcPr>
          <w:p>
            <w: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t>Capacidad de interacción · Transparencia (25059)</w:t>
            </w:r>
          </w:p>
        </w:tc>
        <w:tc>
          <w:tcPr>
            <w:tcW w:type="dxa" w:w="2835"/>
          </w:tcPr>
          <w:p>
            <w:r>
              <w:t>A</w:t>
            </w:r>
          </w:p>
        </w:tc>
        <w:tc>
          <w:tcPr>
            <w:tcW w:type="dxa" w:w="2835"/>
          </w:tcPr>
          <w:p>
            <w:r>
              <w:t>Las decisiones quedan en el append-only decisiones-procesadas.jsonl con identidad hasheada y fecha con zona horaria; el correo verificado no queda en claro</w:t>
            </w:r>
          </w:p>
        </w:tc>
      </w:tr>
      <w:tr>
        <w:tc>
          <w:tcPr>
            <w:tcW w:type="dxa" w:w="2835"/>
          </w:tcPr>
          <w:p>
            <w:r>
              <w:t>Fiabilidad · Robustez (25059)</w:t>
            </w:r>
          </w:p>
        </w:tc>
        <w:tc>
          <w:tcPr>
            <w:tcW w:type="dxa" w:w="2835"/>
          </w:tcPr>
          <w:p>
            <w:r>
              <w:t>A</w:t>
            </w:r>
          </w:p>
        </w:tc>
        <w:tc>
          <w:tcPr>
            <w:tcW w:type="dxa" w:w="2835"/>
          </w:tcPr>
          <w:p>
            <w:r>
              <w:t>Links alterados (token, tipo, decisión, id inexistente, correo fuera del padrón) se rechazan con códigos estables; un registro corrupto interrumpe la lectura en fail-closed</w:t>
            </w:r>
          </w:p>
        </w:tc>
      </w:tr>
      <w:tr>
        <w:tc>
          <w:tcPr>
            <w:tcW w:type="dxa" w:w="2835"/>
          </w:tcPr>
          <w:p>
            <w:r>
              <w:t>Compatibilidad · Interoperabilidad</w:t>
            </w:r>
          </w:p>
        </w:tc>
        <w:tc>
          <w:tcPr>
            <w:tcW w:type="dxa" w:w="2835"/>
          </w:tcPr>
          <w:p>
            <w:r>
              <w:t>B</w:t>
            </w:r>
          </w:p>
        </w:tc>
        <w:tc>
          <w:tcPr>
            <w:tcW w:type="dxa" w:w="2835"/>
          </w:tcPr>
          <w:p>
            <w:r>
              <w:t>El Form de decisiones (ADR 0008) está implementado con runner live de doble opt-in; la identidad verificada por Google sólo existe en live: ejecución declarada como paso, no corrida a la fecha</w:t>
            </w:r>
          </w:p>
        </w:tc>
      </w:tr>
      <w:tr>
        <w:tc>
          <w:tcPr>
            <w:tcW w:type="dxa" w:w="2835"/>
          </w:tcPr>
          <w:p>
            <w:r>
              <w:t>Calidad de datos (25012) · Exactitud sintáctica</w:t>
            </w:r>
          </w:p>
        </w:tc>
        <w:tc>
          <w:tcPr>
            <w:tcW w:type="dxa" w:w="2835"/>
          </w:tcPr>
          <w:p>
            <w:r>
              <w:t>A</w:t>
            </w:r>
          </w:p>
        </w:tc>
        <w:tc>
          <w:tcPr>
            <w:tcW w:type="dxa" w:w="2835"/>
          </w:tcPr>
          <w:p>
            <w:r>
              <w:t>El padrón de roles se valida al leer: una entrada inválida se rechaza y un correo fuera del padrón recibe rol centinela, no un rol habilitado</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Cola y envío</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Cola y envío</w:t>
            </w:r>
          </w:p>
        </w:tc>
      </w:tr>
      <w:tr>
        <w:tc>
          <w:tcPr>
            <w:tcW w:type="dxa" w:w="2835"/>
          </w:tcPr>
          <w:p>
            <w:r>
              <w:t>Atributo</w:t>
            </w:r>
          </w:p>
        </w:tc>
        <w:tc>
          <w:tcPr>
            <w:tcW w:type="dxa" w:w="2835"/>
          </w:tcPr>
          <w:p>
            <w:r>
              <w:t>Estado</w:t>
            </w:r>
          </w:p>
        </w:tc>
        <w:tc>
          <w:tcPr>
            <w:tcW w:type="dxa" w:w="2835"/>
          </w:tcPr>
          <w:p>
            <w:r>
              <w:t>Motivo</w:t>
            </w:r>
          </w:p>
        </w:tc>
      </w:tr>
      <w:tr>
        <w:tc>
          <w:tcPr>
            <w:tcW w:type="dxa" w:w="2835"/>
          </w:tcPr>
          <w:p>
            <w:r>
              <w:t>Fiabilidad · Tolerancia a fallos</w:t>
            </w:r>
          </w:p>
        </w:tc>
        <w:tc>
          <w:tcPr>
            <w:tcW w:type="dxa" w:w="2835"/>
          </w:tcPr>
          <w:p>
            <w:r>
              <w:t>A</w:t>
            </w:r>
          </w:p>
        </w:tc>
        <w:tc>
          <w:tcPr>
            <w:tcW w:type="dxa" w:w="2835"/>
          </w:tcPr>
          <w:p>
            <w: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t>Fiabilidad · Recuperabilidad</w:t>
            </w:r>
          </w:p>
        </w:tc>
        <w:tc>
          <w:tcPr>
            <w:tcW w:type="dxa" w:w="2835"/>
          </w:tcPr>
          <w:p>
            <w:r>
              <w:t>B</w:t>
            </w:r>
          </w:p>
        </w:tc>
        <w:tc>
          <w:tcPr>
            <w:tcW w:type="dxa" w:w="2835"/>
          </w:tcPr>
          <w:p>
            <w:r>
              <w:t>Idempotencia durable verificada: el registro archivo-por-clave sobrevive reinicio y una reserva colgada se reconcilia sin reenviar. Los SLO de RPO (menor o igual a un día hábil) y RTO (una jornada siguiendo el manual) quedan previstos del respaldo diario (ADR 0009, implementación #86) sin nivel verificado a la fecha: la medición es #88. PENDIENTE #86, #88</w:t>
            </w:r>
          </w:p>
        </w:tc>
      </w:tr>
      <w:tr>
        <w:tc>
          <w:tcPr>
            <w:tcW w:type="dxa" w:w="2835"/>
          </w:tcPr>
          <w:p>
            <w:r>
              <w:t>Compatibilidad · Coexistencia</w:t>
            </w:r>
          </w:p>
        </w:tc>
        <w:tc>
          <w:tcPr>
            <w:tcW w:type="dxa" w:w="2835"/>
          </w:tcPr>
          <w:p>
            <w:r>
              <w:t>A</w:t>
            </w:r>
          </w:p>
        </w:tc>
        <w:tc>
          <w:tcPr>
            <w:tcW w:type="dxa" w:w="2835"/>
          </w:tcPr>
          <w:p>
            <w:r>
              <w:t>Escribir es siempre crear nuevo; gmail.send opera cercado por la lista de prueba con rechazo previo al token y a la red; un envío sin registro previo no crea nada</w:t>
            </w:r>
          </w:p>
        </w:tc>
      </w:tr>
      <w:tr>
        <w:tc>
          <w:tcPr>
            <w:tcW w:type="dxa" w:w="2835"/>
          </w:tcPr>
          <w:p>
            <w:r>
              <w:t>Adecuación funcional · Corrección del sistema</w:t>
            </w:r>
          </w:p>
        </w:tc>
        <w:tc>
          <w:tcPr>
            <w:tcW w:type="dxa" w:w="2835"/>
          </w:tcPr>
          <w:p>
            <w:r>
              <w:t>A</w:t>
            </w:r>
          </w:p>
        </w:tc>
        <w:tc>
          <w:tcPr>
            <w:tcW w:type="dxa" w:w="2835"/>
          </w:tcPr>
          <w:p>
            <w:r>
              <w:t>La doble aprobación es requisito de la máquina de estados (DEF-A1-016): sin las dos decisiones no hay encolado; ENVIO_INDETERMINADO nunca reenvía sin cruzar con Enviados</w:t>
            </w:r>
          </w:p>
        </w:tc>
      </w:tr>
      <w:tr>
        <w:tc>
          <w:tcPr>
            <w:tcW w:type="dxa" w:w="2835"/>
          </w:tcPr>
          <w:p>
            <w:r>
              <w:t>Capacidad de interacción · Controlabilidad (25059)</w:t>
            </w:r>
          </w:p>
        </w:tc>
        <w:tc>
          <w:tcPr>
            <w:tcW w:type="dxa" w:w="2835"/>
          </w:tcPr>
          <w:p>
            <w:r>
              <w:t>A</w:t>
            </w:r>
          </w:p>
        </w:tc>
        <w:tc>
          <w:tcPr>
            <w:tcW w:type="dxa" w:w="2835"/>
          </w:tcPr>
          <w:p>
            <w:r>
              <w:t>Nada se envía sin plantilla aprobada más aprobación de lote; el estado manual_only exige decisión humana para reintentar</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Persistencia y auditoría</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Persistencia y auditoría</w:t>
            </w:r>
          </w:p>
        </w:tc>
      </w:tr>
      <w:tr>
        <w:tc>
          <w:tcPr>
            <w:tcW w:type="dxa" w:w="2835"/>
          </w:tcPr>
          <w:p>
            <w:r>
              <w:t>Atributo</w:t>
            </w:r>
          </w:p>
        </w:tc>
        <w:tc>
          <w:tcPr>
            <w:tcW w:type="dxa" w:w="2835"/>
          </w:tcPr>
          <w:p>
            <w:r>
              <w:t>Estado</w:t>
            </w:r>
          </w:p>
        </w:tc>
        <w:tc>
          <w:tcPr>
            <w:tcW w:type="dxa" w:w="2835"/>
          </w:tcPr>
          <w:p>
            <w:r>
              <w:t>Motivo</w:t>
            </w:r>
          </w:p>
        </w:tc>
      </w:tr>
      <w:tr>
        <w:tc>
          <w:tcPr>
            <w:tcW w:type="dxa" w:w="2835"/>
          </w:tcPr>
          <w:p>
            <w:r>
              <w:t>Capacidad de interacción · Transparencia (25059)</w:t>
            </w:r>
          </w:p>
        </w:tc>
        <w:tc>
          <w:tcPr>
            <w:tcW w:type="dxa" w:w="2835"/>
          </w:tcPr>
          <w:p>
            <w:r>
              <w:t>A</w:t>
            </w:r>
          </w:p>
        </w:tc>
        <w:tc>
          <w:tcPr>
            <w:tcW w:type="dxa" w:w="2835"/>
          </w:tcPr>
          <w:p>
            <w:r>
              <w:t>Manifest sanitizado por ejecución; auditorías y reportes exponen sólo códigos, conteos y hashes; la auditoría no copia destinatarios ni cuerpos</w:t>
            </w:r>
          </w:p>
        </w:tc>
      </w:tr>
      <w:tr>
        <w:tc>
          <w:tcPr>
            <w:tcW w:type="dxa" w:w="2835"/>
          </w:tcPr>
          <w:p>
            <w:r>
              <w:t>Calidad de datos (25012) · Trazabilidad</w:t>
            </w:r>
          </w:p>
        </w:tc>
        <w:tc>
          <w:tcPr>
            <w:tcW w:type="dxa" w:w="2835"/>
          </w:tcPr>
          <w:p>
            <w:r>
              <w:t>A</w:t>
            </w:r>
          </w:p>
        </w:tc>
        <w:tc>
          <w:tcPr>
            <w:tcW w:type="dxa" w:w="2835"/>
          </w:tcPr>
          <w:p>
            <w:r>
              <w:t>Cada ejecución lleva correlation id; la lista de cierre y los objetos de decisión se anclan por sha256; el plan de pago declara procedencia por dato; los logs no guardan contenido ni correos en claro</w:t>
            </w:r>
          </w:p>
        </w:tc>
      </w:tr>
      <w:tr>
        <w:tc>
          <w:tcPr>
            <w:tcW w:type="dxa" w:w="2835"/>
          </w:tcPr>
          <w:p>
            <w:r>
              <w:t>Fiabilidad · Tolerancia a fallos</w:t>
            </w:r>
          </w:p>
        </w:tc>
        <w:tc>
          <w:tcPr>
            <w:tcW w:type="dxa" w:w="2835"/>
          </w:tcPr>
          <w:p>
            <w:r>
              <w:t>A</w:t>
            </w:r>
          </w:p>
        </w:tc>
        <w:tc>
          <w:tcPr>
            <w:tcW w:type="dxa" w:w="2835"/>
          </w:tcPr>
          <w:p>
            <w:r>
              <w:t>Un registro corrupto se trata como ausente y no habilita entrega; un JSONL corrupto interrumpe la lectura en fail-closed; una clave que no es un hash no elige dónde se escribe</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Integraciones</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Integraciones</w:t>
            </w:r>
          </w:p>
        </w:tc>
      </w:tr>
      <w:tr>
        <w:tc>
          <w:tcPr>
            <w:tcW w:type="dxa" w:w="2835"/>
          </w:tcPr>
          <w:p>
            <w:r>
              <w:t>Atributo</w:t>
            </w:r>
          </w:p>
        </w:tc>
        <w:tc>
          <w:tcPr>
            <w:tcW w:type="dxa" w:w="2835"/>
          </w:tcPr>
          <w:p>
            <w:r>
              <w:t>Estado</w:t>
            </w:r>
          </w:p>
        </w:tc>
        <w:tc>
          <w:tcPr>
            <w:tcW w:type="dxa" w:w="2835"/>
          </w:tcPr>
          <w:p>
            <w:r>
              <w:t>Motivo</w:t>
            </w:r>
          </w:p>
        </w:tc>
      </w:tr>
      <w:tr>
        <w:tc>
          <w:tcPr>
            <w:tcW w:type="dxa" w:w="2835"/>
          </w:tcPr>
          <w:p>
            <w:r>
              <w:t>Compatibilidad · Interoperabilidad</w:t>
            </w:r>
          </w:p>
        </w:tc>
        <w:tc>
          <w:tcPr>
            <w:tcW w:type="dxa" w:w="2835"/>
          </w:tcPr>
          <w:p>
            <w:r>
              <w:t>A/B/C</w:t>
            </w:r>
          </w:p>
        </w:tc>
        <w:tc>
          <w:tcPr>
            <w:tcW w:type="dxa" w:w="2835"/>
          </w:tcPr>
          <w:p>
            <w:r>
              <w:t>Workspace D2 verificado live el 28/09 (parte A): smoke de lectura, negativos y E2E de gacetilla con Doc real BORRADOR — NO PUBLICAR en la carpeta autorizada, sin tocar nada existente. Insumos de A3 por productor provisional declarado (parte B). Seam de A2 offline sin transporte ni contrato cerrado y A4/A5 con sólo contrato candidato (parte C, previstas). La provisión D3 sigue abierta</w:t>
            </w:r>
          </w:p>
        </w:tc>
      </w:tr>
      <w:tr>
        <w:tc>
          <w:tcPr>
            <w:tcW w:type="dxa" w:w="2835"/>
          </w:tcPr>
          <w:p>
            <w:r>
              <w:t>Compatibilidad · Coexistencia</w:t>
            </w:r>
          </w:p>
        </w:tc>
        <w:tc>
          <w:tcPr>
            <w:tcW w:type="dxa" w:w="2835"/>
          </w:tcPr>
          <w:p>
            <w:r>
              <w:t>A</w:t>
            </w:r>
          </w:p>
        </w:tc>
        <w:tc>
          <w:tcPr>
            <w:tcW w:type="dxa" w:w="2835"/>
          </w:tcPr>
          <w:p>
            <w:r>
              <w:t>Escribir es siempre crear nuevo (Docs, Drive, Gmail); allowlist de hosts, tope de 1 MiB por respuesta, deadline absoluto y 401/403 sin reintento</w:t>
            </w:r>
          </w:p>
        </w:tc>
      </w:tr>
      <w:tr>
        <w:tc>
          <w:tcPr>
            <w:tcW w:type="dxa" w:w="2835"/>
          </w:tcPr>
          <w:p>
            <w:r>
              <w:t>Fiabilidad · Robustez (25059)</w:t>
            </w:r>
          </w:p>
        </w:tc>
        <w:tc>
          <w:tcPr>
            <w:tcW w:type="dxa" w:w="2835"/>
          </w:tcPr>
          <w:p>
            <w:r>
              <w:t>A</w:t>
            </w:r>
          </w:p>
        </w:tc>
        <w:tc>
          <w:tcPr>
            <w:tcW w:type="dxa" w:w="2835"/>
          </w:tcPr>
          <w:p>
            <w: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t>Calidad de datos (25012) · Consistencia</w:t>
            </w:r>
          </w:p>
        </w:tc>
        <w:tc>
          <w:tcPr>
            <w:tcW w:type="dxa" w:w="2835"/>
          </w:tcPr>
          <w:p>
            <w:r>
              <w:t>A</w:t>
            </w:r>
          </w:p>
        </w:tc>
        <w:tc>
          <w:tcPr>
            <w:tcW w:type="dxa" w:w="2835"/>
          </w:tcPr>
          <w:p>
            <w:r>
              <w:t>La misma interpretación posicional en CSV y Sheets produce estructuras de dominio idénticas: plan, padrón y novedades coinciden entre las dos fuentes</w:t>
            </w:r>
          </w:p>
        </w:tc>
      </w:tr>
      <w:tr>
        <w:tc>
          <w:tcPr>
            <w:tcW w:type="dxa" w:w="2835"/>
          </w:tcPr>
          <w:p>
            <w:r>
              <w:t>Flexibilidad · Reemplazabilidad</w:t>
            </w:r>
          </w:p>
        </w:tc>
        <w:tc>
          <w:tcPr>
            <w:tcW w:type="dxa" w:w="2835"/>
          </w:tcPr>
          <w:p>
            <w:r>
              <w:t>A</w:t>
            </w:r>
          </w:p>
        </w:tc>
        <w:tc>
          <w:tcPr>
            <w:tcW w:type="dxa" w:w="2835"/>
          </w:tcPr>
          <w:p>
            <w:r>
              <w:t>Fuentes, destinos y buzón detrás de puertos: CSV por Sheets, Markdown por Docs, .eml por Gmail y proveedor de token intercambiable</w:t>
            </w:r>
          </w:p>
        </w:tc>
      </w:tr>
      <w:tr>
        <w:tc>
          <w:tcPr>
            <w:tcW w:type="dxa" w:w="2835"/>
          </w:tcPr>
          <w:p>
            <w:r>
              <w:t>Flexibilidad · Adaptabilidad</w:t>
            </w:r>
          </w:p>
        </w:tc>
        <w:tc>
          <w:tcPr>
            <w:tcW w:type="dxa" w:w="2835"/>
          </w:tcPr>
          <w:p>
            <w:r>
              <w:t>B</w:t>
            </w:r>
          </w:p>
        </w:tc>
        <w:tc>
          <w:tcPr>
            <w:tcW w:type="dxa" w:w="2835"/>
          </w:tcPr>
          <w:p>
            <w:r>
              <w:t>El paso de D2 a D3 es cambio de configuración (AGENTE1_WORKSPACE_AMBIENTE); sin ejecución live sobre D3 porque el host todavía no llegó (DEF-A1-001 queda parcial)</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Sistema (atributos transversales)</w:t>
      </w:r>
    </w:p>
    <w:tbl>
      <w:tblPr>
        <w:tblStyle w:val="Tablaconcuadrcula"/>
        <w:tblW w:type="auto" w:w="0"/>
        <w:tblLook w:firstColumn="1" w:firstRow="1" w:lastColumn="0" w:lastRow="0" w:noHBand="0" w:noVBand="1" w:val="04A0"/>
      </w:tblPr>
      <w:tblGrid>
        <w:gridCol w:w="2835"/>
        <w:gridCol w:w="2835"/>
        <w:gridCol w:w="2835"/>
      </w:tblGrid>
      <w:tr>
        <w:tc>
          <w:tcPr>
            <w:tcW w:type="dxa" w:w="8505"/>
            <w:gridSpan w:val="3"/>
          </w:tcPr>
          <w:p>
            <w:r>
              <w:t>Sistema (atributos transversales)</w:t>
            </w:r>
          </w:p>
        </w:tc>
      </w:tr>
      <w:tr>
        <w:tc>
          <w:tcPr>
            <w:tcW w:type="dxa" w:w="2835"/>
          </w:tcPr>
          <w:p>
            <w:r>
              <w:t>Atributo</w:t>
            </w:r>
          </w:p>
        </w:tc>
        <w:tc>
          <w:tcPr>
            <w:tcW w:type="dxa" w:w="2835"/>
          </w:tcPr>
          <w:p>
            <w:r>
              <w:t>Estado</w:t>
            </w:r>
          </w:p>
        </w:tc>
        <w:tc>
          <w:tcPr>
            <w:tcW w:type="dxa" w:w="2835"/>
          </w:tcPr>
          <w:p>
            <w:r>
              <w:t>Motivo</w:t>
            </w:r>
          </w:p>
        </w:tc>
      </w:tr>
      <w:tr>
        <w:tc>
          <w:tcPr>
            <w:tcW w:type="dxa" w:w="2835"/>
          </w:tcPr>
          <w:p>
            <w:r>
              <w:t>Adecuación funcional · Adaptabilidad funcional (25059)</w:t>
            </w:r>
          </w:p>
        </w:tc>
        <w:tc>
          <w:tcPr>
            <w:tcW w:type="dxa" w:w="2835"/>
          </w:tcPr>
          <w:p>
            <w:r>
              <w:t>No aplica</w:t>
            </w:r>
          </w:p>
        </w:tc>
        <w:tc>
          <w:tcPr>
            <w:tcW w:type="dxa" w:w="2835"/>
          </w:tcPr>
          <w:p>
            <w:r>
              <w:t>El modelo no aprende ni adapta su comportamiento durante la operación; cada ejecución es independiente (resolución de #59)</w:t>
            </w:r>
          </w:p>
        </w:tc>
      </w:tr>
      <w:tr>
        <w:tc>
          <w:tcPr>
            <w:tcW w:type="dxa" w:w="2835"/>
          </w:tcPr>
          <w:p>
            <w:r>
              <w:t>Fiabilidad · Ausencia de fallos</w:t>
            </w:r>
          </w:p>
        </w:tc>
        <w:tc>
          <w:tcPr>
            <w:tcW w:type="dxa" w:w="2835"/>
          </w:tcPr>
          <w:p>
            <w:r>
              <w:t>A</w:t>
            </w:r>
          </w:p>
        </w:tc>
        <w:tc>
          <w:tcPr>
            <w:tcW w:type="dxa" w:w="2835"/>
          </w:tcPr>
          <w:p>
            <w:r>
              <w:t>Cero defectos CRITICA abiertos y cero ABIERTO técnicos al corte; la inconsistencia de versionado observada en un test de empaquetado se registró y corrigió en esta foto (DEF-A1-021, BAJA)</w:t>
            </w:r>
          </w:p>
        </w:tc>
      </w:tr>
      <w:tr>
        <w:tc>
          <w:tcPr>
            <w:tcW w:type="dxa" w:w="2835"/>
          </w:tcPr>
          <w:p>
            <w:r>
              <w:t>Fiabilidad · Disponibilidad</w:t>
            </w:r>
          </w:p>
        </w:tc>
        <w:tc>
          <w:tcPr>
            <w:tcW w:type="dxa" w:w="2835"/>
          </w:tcPr>
          <w:p>
            <w:r>
              <w:t>C</w:t>
            </w:r>
          </w:p>
        </w:tc>
        <w:tc>
          <w:tcPr>
            <w:tcW w:type="dxa" w:w="2835"/>
          </w:tcPr>
          <w:p>
            <w:r>
              <w:t>SLO del 99 % de corridas programadas completadas dentro de la ventana de operación (provisional días hábiles de 8 a 16, la confirma la SEU en #56); sin nivel verificado a la fecha: la medición desde la auditoría es #88. PENDIENTE #88 y #56</w:t>
            </w:r>
          </w:p>
        </w:tc>
      </w:tr>
      <w:tr>
        <w:tc>
          <w:tcPr>
            <w:tcW w:type="dxa" w:w="2835"/>
          </w:tcPr>
          <w:p>
            <w:r>
              <w:t>Capacidad de interacción · Operabilidad</w:t>
            </w:r>
          </w:p>
        </w:tc>
        <w:tc>
          <w:tcPr>
            <w:tcW w:type="dxa" w:w="2835"/>
          </w:tcPr>
          <w:p>
            <w:r>
              <w:t>B</w:t>
            </w:r>
          </w:p>
        </w:tc>
        <w:tc>
          <w:tcPr>
            <w:tcW w:type="dxa" w:w="2835"/>
          </w:tcPr>
          <w:p>
            <w:r>
              <w:t>Operación por runners versionados y runbooks por tramo (canal planilla, Form, decisiones, E2E Workspace, operaciones seguras); la conformidad operativa de la SEU (al menos 3/4 en el instrumento) está pendiente de #56. PENDIENTE #56</w:t>
            </w:r>
          </w:p>
        </w:tc>
      </w:tr>
      <w:tr>
        <w:tc>
          <w:tcPr>
            <w:tcW w:type="dxa" w:w="2835"/>
          </w:tcPr>
          <w:p>
            <w:r>
              <w:t>Capacidad de interacción · Reconocibilidad de la adecuación</w:t>
            </w:r>
          </w:p>
        </w:tc>
        <w:tc>
          <w:tcPr>
            <w:tcW w:type="dxa" w:w="2835"/>
          </w:tcPr>
          <w:p>
            <w:r>
              <w:t>B</w:t>
            </w:r>
          </w:p>
        </w:tc>
        <w:tc>
          <w:tcPr>
            <w:tcW w:type="dxa" w:w="2835"/>
          </w:tcPr>
          <w:p>
            <w:r>
              <w:t>Los instrumentos para que la SEU reconozca la adecuación están versionados (checklists por HU, paquete de muestras, protocolo, instrumento de prueba guiada); la validación registrada está pendiente de #56. PENDIENTE #56</w:t>
            </w:r>
          </w:p>
        </w:tc>
      </w:tr>
      <w:tr>
        <w:tc>
          <w:tcPr>
            <w:tcW w:type="dxa" w:w="2835"/>
          </w:tcPr>
          <w:p>
            <w:r>
              <w:t>Capacidad de interacción · Aprendizaje</w:t>
            </w:r>
          </w:p>
        </w:tc>
        <w:tc>
          <w:tcPr>
            <w:tcW w:type="dxa" w:w="2835"/>
          </w:tcPr>
          <w:p>
            <w:r>
              <w:t>C</w:t>
            </w:r>
          </w:p>
        </w:tc>
        <w:tc>
          <w:tcPr>
            <w:tcW w:type="dxa" w:w="2835"/>
          </w:tcPr>
          <w:p>
            <w:r>
              <w:t>Previsto y no implementado: el manual de operación es #81 y la prueba guiada con la SEU es #56. PENDIENTE #81, #56</w:t>
            </w:r>
          </w:p>
        </w:tc>
      </w:tr>
      <w:tr>
        <w:tc>
          <w:tcPr>
            <w:tcW w:type="dxa" w:w="2835"/>
          </w:tcPr>
          <w:p>
            <w:r>
              <w:t>Capacidad de interacción · Asistencia al usuario</w:t>
            </w:r>
          </w:p>
        </w:tc>
        <w:tc>
          <w:tcPr>
            <w:tcW w:type="dxa" w:w="2835"/>
          </w:tcPr>
          <w:p>
            <w:r>
              <w:t>C</w:t>
            </w:r>
          </w:p>
        </w:tc>
        <w:tc>
          <w:tcPr>
            <w:tcW w:type="dxa" w:w="2835"/>
          </w:tcPr>
          <w:p>
            <w:r>
              <w:t>Previsto y no implementado: sin manual ni canal de asistencia a la fecha (#81, #56). PENDIENTE #81, #56</w:t>
            </w:r>
          </w:p>
        </w:tc>
      </w:tr>
      <w:tr>
        <w:tc>
          <w:tcPr>
            <w:tcW w:type="dxa" w:w="2835"/>
          </w:tcPr>
          <w:p>
            <w:r>
              <w:t>Capacidad de interacción · Inclusividad</w:t>
            </w:r>
          </w:p>
        </w:tc>
        <w:tc>
          <w:tcPr>
            <w:tcW w:type="dxa" w:w="2835"/>
          </w:tcPr>
          <w:p>
            <w:r>
              <w:t>No aplica</w:t>
            </w:r>
          </w:p>
        </w:tc>
        <w:tc>
          <w:tcPr>
            <w:tcW w:type="dxa" w:w="2835"/>
          </w:tcPr>
          <w:p>
            <w:r>
              <w:t>Herramienta interna con pocos usuarios designados por rol; no hay requisito de accesibilidad ni público general (resolución de #59)</w:t>
            </w:r>
          </w:p>
        </w:tc>
      </w:tr>
      <w:tr>
        <w:tc>
          <w:tcPr>
            <w:tcW w:type="dxa" w:w="2835"/>
          </w:tcPr>
          <w:p>
            <w:r>
              <w:t>Capacidad de interacción · Compromiso del usuario</w:t>
            </w:r>
          </w:p>
        </w:tc>
        <w:tc>
          <w:tcPr>
            <w:tcW w:type="dxa" w:w="2835"/>
          </w:tcPr>
          <w:p>
            <w:r>
              <w:t>No aplica</w:t>
            </w:r>
          </w:p>
        </w:tc>
        <w:tc>
          <w:tcPr>
            <w:tcW w:type="dxa" w:w="2835"/>
          </w:tcPr>
          <w:p>
            <w:r>
              <w:t>El uso es asignado por rol dentro del Proceso 4; no es una adopción voluntaria que el atributo pudiera medir (resolución de #59)</w:t>
            </w:r>
          </w:p>
        </w:tc>
      </w:tr>
      <w:tr>
        <w:tc>
          <w:tcPr>
            <w:tcW w:type="dxa" w:w="2835"/>
          </w:tcPr>
          <w:p>
            <w:r>
              <w:t>Mantenibilidad · Modularidad</w:t>
            </w:r>
          </w:p>
        </w:tc>
        <w:tc>
          <w:tcPr>
            <w:tcW w:type="dxa" w:w="2835"/>
          </w:tcPr>
          <w:p>
            <w:r>
              <w:t>A</w:t>
            </w:r>
          </w:p>
        </w:tc>
        <w:tc>
          <w:tcPr>
            <w:tcW w:type="dxa" w:w="2835"/>
          </w:tcPr>
          <w:p>
            <w:r>
              <w:t>Puertos y adapters en cada frontera (canal, fuente, destino, buzón, generador, registro, decisiones); el seam de interpretación es independiente del transporte</w:t>
            </w:r>
          </w:p>
        </w:tc>
      </w:tr>
      <w:tr>
        <w:tc>
          <w:tcPr>
            <w:tcW w:type="dxa" w:w="2835"/>
          </w:tcPr>
          <w:p>
            <w:r>
              <w:t>Mantenibilidad · Reusabilidad</w:t>
            </w:r>
          </w:p>
        </w:tc>
        <w:tc>
          <w:tcPr>
            <w:tcW w:type="dxa" w:w="2835"/>
          </w:tcPr>
          <w:p>
            <w:r>
              <w:t>A</w:t>
            </w:r>
          </w:p>
        </w:tc>
        <w:tc>
          <w:tcPr>
            <w:tcW w:type="dxa" w:w="2835"/>
          </w:tcPr>
          <w:p>
            <w:r>
              <w:t>El circuito de doble aprobación se reusa en certificados, plantillas de actividad, recordatorios y línea descriptiva; el lector crudo de Sheets sirve a canal, decisiones, pagos y lista de cierre</w:t>
            </w:r>
          </w:p>
        </w:tc>
      </w:tr>
      <w:tr>
        <w:tc>
          <w:tcPr>
            <w:tcW w:type="dxa" w:w="2835"/>
          </w:tcPr>
          <w:p>
            <w:r>
              <w:t>Mantenibilidad · Modificabilidad</w:t>
            </w:r>
          </w:p>
        </w:tc>
        <w:tc>
          <w:tcPr>
            <w:tcW w:type="dxa" w:w="2835"/>
          </w:tcPr>
          <w:p>
            <w:r>
              <w:t>A</w:t>
            </w:r>
          </w:p>
        </w:tc>
        <w:tc>
          <w:tcPr>
            <w:tcW w:type="dxa" w:w="2835"/>
          </w:tcPr>
          <w:p>
            <w:r>
              <w:t>Contratos, prompts y políticas versionados por archivo (v1 a v4 conviven); cambiar de versión no toca el pipeline</w:t>
            </w:r>
          </w:p>
        </w:tc>
      </w:tr>
      <w:tr>
        <w:tc>
          <w:tcPr>
            <w:tcW w:type="dxa" w:w="2835"/>
          </w:tcPr>
          <w:p>
            <w:r>
              <w:t>Mantenibilidad · Analizabilidad</w:t>
            </w:r>
          </w:p>
        </w:tc>
        <w:tc>
          <w:tcPr>
            <w:tcW w:type="dxa" w:w="2835"/>
          </w:tcPr>
          <w:p>
            <w:r>
              <w:t>B</w:t>
            </w:r>
          </w:p>
        </w:tc>
        <w:tc>
          <w:tcPr>
            <w:tcW w:type="dxa" w:w="2835"/>
          </w:tcPr>
          <w:p>
            <w:r>
              <w:t>Docstrings de decisión por módulo y la tabla de decisiones del README permiten localizar cada regla; falta linter y análisis estático: esa parte queda prevista y requerida, la cubre #90. PENDIENTE #90</w:t>
            </w:r>
          </w:p>
        </w:tc>
      </w:tr>
      <w:tr>
        <w:tc>
          <w:tcPr>
            <w:tcW w:type="dxa" w:w="2835"/>
          </w:tcPr>
          <w:p>
            <w:r>
              <w:t>Mantenibilidad · Capacidad de prueba</w:t>
            </w:r>
          </w:p>
        </w:tc>
        <w:tc>
          <w:tcPr>
            <w:tcW w:type="dxa" w:w="2835"/>
          </w:tcPr>
          <w:p>
            <w:r>
              <w:t>B</w:t>
            </w:r>
          </w:p>
        </w:tc>
        <w:tc>
          <w:tcPr>
            <w:tcW w:type="dxa" w:w="2835"/>
          </w:tcPr>
          <w:p>
            <w:r>
              <w:t>Suite versionada de 1650 pruebas, determinista y completa en menos de un minuto, con matrices reproducibles por HU y goldens; faltan CI y cobertura medida: brecha requerida, la cubre #90. PENDIENTE #90</w:t>
            </w:r>
          </w:p>
        </w:tc>
      </w:tr>
      <w:tr>
        <w:tc>
          <w:tcPr>
            <w:tcW w:type="dxa" w:w="2835"/>
          </w:tcPr>
          <w:p>
            <w:r>
              <w:t>Flexibilidad · Instalabilidad</w:t>
            </w:r>
          </w:p>
        </w:tc>
        <w:tc>
          <w:tcPr>
            <w:tcW w:type="dxa" w:w="2835"/>
          </w:tcPr>
          <w:p>
            <w:r>
              <w:t>B</w:t>
            </w:r>
          </w:p>
        </w:tc>
        <w:tc>
          <w:tcPr>
            <w:tcW w:type="dxa" w:w="2835"/>
          </w:tcPr>
          <w:p>
            <w:r>
              <w:t>Paquete con pyproject.toml y uv.lock que instala y corre en la laptop del autor vía uv; la instalación por un tercero (responsable de operación tras el traspaso) está prevista para diciembre-febrero</w:t>
            </w:r>
          </w:p>
        </w:tc>
      </w:tr>
      <w:tr>
        <w:tc>
          <w:tcPr>
            <w:tcW w:type="dxa" w:w="2835"/>
          </w:tcPr>
          <w:p>
            <w:r>
              <w:t>Flexibilidad · Escalabilidad</w:t>
            </w:r>
          </w:p>
        </w:tc>
        <w:tc>
          <w:tcPr>
            <w:tcW w:type="dxa" w:w="2835"/>
          </w:tcPr>
          <w:p>
            <w:r>
              <w:t>C</w:t>
            </w:r>
          </w:p>
        </w:tc>
        <w:tc>
          <w:tcPr>
            <w:tcW w:type="dxa" w:w="2835"/>
          </w:tcPr>
          <w:p>
            <w:r>
              <w:t>Prevista y no implementada: el volumen informado por la SEU consume menos del 4 % de una jornada, así que escalar no es requerido en el horizonte del PPS</w:t>
            </w:r>
          </w:p>
        </w:tc>
      </w:tr>
      <w:tr>
        <w:tc>
          <w:tcPr>
            <w:tcW w:type="dxa" w:w="2835"/>
          </w:tcPr>
          <w:p>
            <w:r>
              <w:t>Seguridad · Seguridad (factor completo)</w:t>
            </w:r>
          </w:p>
        </w:tc>
        <w:tc>
          <w:tcPr>
            <w:tcW w:type="dxa" w:w="2835"/>
          </w:tcPr>
          <w:p>
            <w:r>
              <w:t>Remite</w:t>
            </w:r>
          </w:p>
        </w:tc>
        <w:tc>
          <w:tcPr>
            <w:tcW w:type="dxa" w:w="2835"/>
          </w:tcPr>
          <w:p>
            <w:r>
              <w:t>El perfil de seguridad se declara en el Anexo 3 (issue #58); toda declaración de confidencialidad, integridad, autenticación y trazabilidad de accesos se hace allí</w:t>
            </w:r>
          </w:p>
        </w:tc>
      </w:tr>
      <w:tr>
        <w:tc>
          <w:tcPr>
            <w:tcW w:type="dxa" w:w="2835"/>
          </w:tcPr>
          <w:p>
            <w:r>
              <w:t>Safety · Safety (factor completo)</w:t>
            </w:r>
          </w:p>
        </w:tc>
        <w:tc>
          <w:tcPr>
            <w:tcW w:type="dxa" w:w="2835"/>
          </w:tcPr>
          <w:p>
            <w:r>
              <w:t>No aplica</w:t>
            </w:r>
          </w:p>
        </w:tc>
        <w:tc>
          <w:tcPr>
            <w:tcW w:type="dxa" w:w="2835"/>
          </w:tcPr>
          <w:p>
            <w:r>
              <w:t>No hay riesgo físico ni ambiental: el daño posible (envío o certificado erróneo) se trata por controlabilidad e intervenibilidad y, en su componente de información, por el Anexo 3 (resolución de #59)</w:t>
            </w:r>
          </w:p>
        </w:tc>
      </w:tr>
      <w:tr>
        <w:tc>
          <w:tcPr>
            <w:tcW w:type="dxa" w:w="2835"/>
          </w:tcPr>
          <w:p>
            <w:r>
              <w:t>Calidad de datos (25012) · Exactitud semántica</w:t>
            </w:r>
          </w:p>
        </w:tc>
        <w:tc>
          <w:tcPr>
            <w:tcW w:type="dxa" w:w="2835"/>
          </w:tcPr>
          <w:p>
            <w:r>
              <w:t>C</w:t>
            </w:r>
          </w:p>
        </w:tc>
        <w:tc>
          <w:tcPr>
            <w:tcW w:type="dxa" w:w="2835"/>
          </w:tcPr>
          <w:p>
            <w:r>
              <w:t>Prevista y responsabilidad del dueño funcional: que el contenido de las fuentes sea verdadero corresponde a la SEU, no al agente (resolución de #59)</w:t>
            </w:r>
          </w:p>
        </w:tc>
      </w:tr>
      <w:tr>
        <w:tc>
          <w:tcPr>
            <w:tcW w:type="dxa" w:w="2835"/>
          </w:tcPr>
          <w:p>
            <w:r>
              <w:t>Calidad de datos (25012) · Credibilidad</w:t>
            </w:r>
          </w:p>
        </w:tc>
        <w:tc>
          <w:tcPr>
            <w:tcW w:type="dxa" w:w="2835"/>
          </w:tcPr>
          <w:p>
            <w:r>
              <w:t>C</w:t>
            </w:r>
          </w:p>
        </w:tc>
        <w:tc>
          <w:tcPr>
            <w:tcW w:type="dxa" w:w="2835"/>
          </w:tcPr>
          <w:p>
            <w:r>
              <w:t>Mismo criterio: la credibilidad de la fuente la determina el dueño funcional; el agente verifica forma y procedencia, no veracidad (resolución de #59)</w:t>
            </w:r>
          </w:p>
        </w:tc>
      </w:tr>
      <w:tr>
        <w:tc>
          <w:tcPr>
            <w:tcW w:type="dxa" w:w="2835"/>
          </w:tcPr>
          <w:p>
            <w:r>
              <w:t>Calidad de datos (25012) · Actualidad</w:t>
            </w:r>
          </w:p>
        </w:tc>
        <w:tc>
          <w:tcPr>
            <w:tcW w:type="dxa" w:w="2835"/>
          </w:tcPr>
          <w:p>
            <w:r>
              <w:t>C</w:t>
            </w:r>
          </w:p>
        </w:tc>
        <w:tc>
          <w:tcPr>
            <w:tcW w:type="dxa" w:w="2835"/>
          </w:tcPr>
          <w:p>
            <w:r>
              <w:t>Mismo criterio; además la planilla de actividades de D2 la carga hoy el autor como insumo provisional declarado, pendiente del reemplazo por la fuente definitiva (resolución de #59)</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