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3B66A" w14:textId="302E8AFF" w:rsidR="00CC7153" w:rsidRPr="00CF2529" w:rsidRDefault="00CC7153" w:rsidP="00CC7153">
      <w:pPr>
        <w:jc w:val="center"/>
        <w:rPr>
          <w:sz w:val="28"/>
          <w:szCs w:val="28"/>
        </w:rPr>
      </w:pPr>
      <w:r>
        <w:rPr>
          <w:sz w:val="28"/>
          <w:szCs w:val="28"/>
        </w:rPr>
        <w:t>Reporte de Evaluación</w:t>
      </w:r>
    </w:p>
    <w:p w14:paraId="3B29D8D9" w14:textId="173F0773" w:rsidR="00CC7153" w:rsidRDefault="007616B6" w:rsidP="00CC7153">
      <w:pPr>
        <w:jc w:val="center"/>
      </w:pPr>
      <w:r>
        <w:t>Proyecto Centenario, Agente 1: Extensión Bot para la Secretaría de Extensión Universitaria de la FIE (Facultad de Ingeniería del Ejército, Universidad de la Defensa Nacional)</w:t>
      </w:r>
      <w:r w:rsidR="00CC7153"/>
      <w:r/>
    </w:p>
    <w:p w14:paraId="11F8C349" w14:textId="77777777" w:rsidR="00CC7153" w:rsidRDefault="00CC7153" w:rsidP="00CC7153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8F53B45" wp14:editId="15EA00B5">
                <wp:simplePos x="0" y="0"/>
                <wp:positionH relativeFrom="column">
                  <wp:posOffset>6793</wp:posOffset>
                </wp:positionH>
                <wp:positionV relativeFrom="paragraph">
                  <wp:posOffset>7213</wp:posOffset>
                </wp:positionV>
                <wp:extent cx="5580000" cy="0"/>
                <wp:effectExtent l="0" t="19050" r="20955" b="1905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000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7D7A4F" id="Conector recto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55pt,.55pt" to="439.9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XEb1QEAAAwEAAAOAAAAZHJzL2Uyb0RvYy54bWysU8tu2zAQvBfoPxC817JduDAEyzkkSC99&#10;BG3TO0MtLQJ8gWQs+e+7XNpK3J5aVAdCXO7OzgyXu5vJGnaEmLR3HV8tlpyBk77X7tDxxx/377ac&#10;pSxcL4x30PETJH6zf/tmN4YW1n7wpofIEMSldgwdH3IObdMkOYAVaeEDODxUPlqRcRsPTR/FiOjW&#10;NOvl8kMz+tiH6CWkhNG7esj3hK8UyPxVqQSZmY4jt0xrpPWprM1+J9pDFGHQ8kxD/AMLK7TDpjPU&#10;nciCPUf9B5TVMvrkVV5IbxuvlJZAGlDNavmbmu+DCEBa0JwUZpvS/4OVX4637iGiDWNIbQoPsaiY&#10;VLRMGR1+4p2SLmTKJrLtNNsGU2YSg5vNdokfZ/Jy1lSIAhViyh/BW1Z+Om60K4pEK46fUsa2mHpJ&#10;KWHj2Njx99sV4pV98kb399oY2pSpgFsT2VHgfeZpTTnm2X72fY1tiEnFpSEq6dTlFRL2NA6DL5Lp&#10;L58MVA7fQDHdo7QqfgaqPYSU4PKqzA4hYXYpU8hyLjyzvyZ8XXjOL6VAk/o3xXMFdfYuz8VWOx+r&#10;d9fd83ShrGr+xYGqu1jw5PsTDQNZgyNHCs/Po8z06z2Vvzzi/S8AAAD//wMAUEsDBBQABgAIAAAA&#10;IQDy95uP2QAAAAUBAAAPAAAAZHJzL2Rvd25yZXYueG1sTI9BS8QwEIXvgv8hjODNTbuCrrXpIqLs&#10;RQRXEY/ZZmyjzSQ22Wz11zurBz0Nj/d48716OblBZByj9aSgnBUgkFpvLHUKnh5vTxYgYtJk9OAJ&#10;FXxihGVzeFDryvgdPWBep05wCcVKK+hTCpWUse3R6TjzAYm9Vz86nViOnTSj3nG5G+S8KM6k05b4&#10;Q68DXvfYvq+3TsH9fHWzyi9l+Ph6Pr3LJtu3Nliljo+mq0sQCaf0F4Y9PqNDw0wbvyUTxcC65ODv&#10;YXdxfsFDNj9aNrX8T998AwAA//8DAFBLAQItABQABgAIAAAAIQC2gziS/gAAAOEBAAATAAAAAAAA&#10;AAAAAAAAAAAAAABbQ29udGVudF9UeXBlc10ueG1sUEsBAi0AFAAGAAgAAAAhADj9If/WAAAAlAEA&#10;AAsAAAAAAAAAAAAAAAAALwEAAF9yZWxzLy5yZWxzUEsBAi0AFAAGAAgAAAAhAIRdcRvVAQAADAQA&#10;AA4AAAAAAAAAAAAAAAAALgIAAGRycy9lMm9Eb2MueG1sUEsBAi0AFAAGAAgAAAAhAPL3m4/ZAAAA&#10;BQEAAA8AAAAAAAAAAAAAAAAALwQAAGRycy9kb3ducmV2LnhtbFBLBQYAAAAABAAEAPMAAAA1BQAA&#10;AAA=&#10;" strokecolor="#212934 [1615]" strokeweight="3pt">
                <v:stroke joinstyle="miter"/>
              </v:line>
            </w:pict>
          </mc:Fallback>
        </mc:AlternateContent>
      </w:r>
    </w:p>
    <w:p w14:paraId="25883003" w14:textId="79B7B8FC" w:rsidR="00BF1B7E" w:rsidRDefault="00BF1B7E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Fecha de Evaluación: </w:t>
      </w:r>
    </w:p>
    <w:p w14:paraId="0CBFB1EA" w14:textId="30D63A52" w:rsidR="00CC7153" w:rsidRDefault="00CC7153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>Laboratorio</w:t>
      </w:r>
      <w:r w:rsidR="00482558">
        <w:rPr>
          <w:sz w:val="24"/>
          <w:szCs w:val="24"/>
        </w:rPr>
        <w:t>: &lt;Identificación del Laboratorio&gt;</w:t>
      </w:r>
    </w:p>
    <w:p w14:paraId="1026CA1D" w14:textId="38CB2F75" w:rsidR="00CC7153" w:rsidRDefault="00CC7153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>Equipo de Evaluación</w:t>
      </w:r>
      <w:r w:rsidR="00482558">
        <w:rPr>
          <w:sz w:val="24"/>
          <w:szCs w:val="24"/>
        </w:rPr>
        <w:t>: &lt;</w:t>
      </w:r>
      <w:r w:rsidR="00E1173B">
        <w:rPr>
          <w:sz w:val="24"/>
          <w:szCs w:val="24"/>
        </w:rPr>
        <w:t>nombre&gt;; &lt;función&gt;; …; &lt;nombre&gt;; &lt;función&gt;</w:t>
      </w:r>
    </w:p>
    <w:p w14:paraId="65E872DE" w14:textId="218BA6E9" w:rsidR="00DC3162" w:rsidRDefault="00DC3162" w:rsidP="00CC7153">
      <w:pPr>
        <w:jc w:val="both"/>
        <w:rPr>
          <w:sz w:val="24"/>
          <w:szCs w:val="24"/>
        </w:rPr>
      </w:pPr>
    </w:p>
    <w:p w14:paraId="0CD3E464" w14:textId="6150BD85" w:rsidR="00DC3162" w:rsidRDefault="00DC3162" w:rsidP="00CC7153">
      <w:pPr>
        <w:jc w:val="both"/>
        <w:rPr>
          <w:sz w:val="24"/>
          <w:szCs w:val="24"/>
        </w:rPr>
      </w:pPr>
    </w:p>
    <w:p w14:paraId="54879D3F" w14:textId="76579444" w:rsidR="00DC3162" w:rsidRDefault="00DC3162" w:rsidP="00DC3162">
      <w:pPr>
        <w:rPr>
          <w:b/>
          <w:i/>
          <w:u w:val="single"/>
        </w:rPr>
      </w:pPr>
      <w:r w:rsidRPr="00906761">
        <w:rPr>
          <w:b/>
          <w:u w:val="single"/>
        </w:rPr>
        <w:t>Para los factores de Seguridad:</w:t>
      </w:r>
      <w:r w:rsidR="00021D4D">
        <w:rPr>
          <w:b/>
          <w:u w:val="single"/>
        </w:rPr>
      </w:r>
      <w:r w:rsidRPr="00906761">
        <w:rPr>
          <w:b/>
          <w:u w:val="single"/>
        </w:rPr>
      </w:r>
      <w:r w:rsidRPr="00906761">
        <w:rPr>
          <w:b/>
          <w:i/>
          <w:u w:val="single"/>
        </w:rPr>
      </w:r>
      <w:r w:rsidR="007402EE">
        <w:rPr>
          <w:b/>
          <w:i/>
          <w:u w:val="single"/>
        </w:rPr>
      </w:r>
      <w:r w:rsidRPr="00906761">
        <w:rPr>
          <w:b/>
          <w:i/>
          <w:u w:val="single"/>
        </w:rPr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21"/>
        <w:gridCol w:w="2305"/>
        <w:gridCol w:w="505"/>
        <w:gridCol w:w="371"/>
        <w:gridCol w:w="419"/>
        <w:gridCol w:w="839"/>
        <w:gridCol w:w="732"/>
        <w:gridCol w:w="839"/>
        <w:gridCol w:w="732"/>
        <w:gridCol w:w="1081"/>
      </w:tblGrid>
      <w:tr w:rsidR="00340E50" w14:paraId="02D2700C" w14:textId="77777777" w:rsidTr="00E727B9">
        <w:trPr>
          <w:trHeight w:val="596"/>
        </w:trPr>
        <w:tc>
          <w:tcPr>
            <w:tcW w:w="9344" w:type="dxa"/>
            <w:gridSpan w:val="10"/>
            <w:vAlign w:val="center"/>
          </w:tcPr>
          <w:p w14:paraId="62A58454" w14:textId="75A9501A" w:rsidR="00340E50" w:rsidRPr="007616B6" w:rsidRDefault="00340E50" w:rsidP="00E727B9">
            <w:pPr>
              <w:jc w:val="center"/>
              <w:rPr>
                <w:smallCaps/>
                <w:sz w:val="24"/>
                <w:szCs w:val="24"/>
              </w:rPr>
            </w:pPr>
            <w:r w:rsidRPr="007616B6">
              <w:rPr>
                <w:b/>
                <w:smallCaps/>
                <w:u w:val="single"/>
              </w:rPr>
              <w:t>Factores de Seguridad: NIST CSF (a nivel Sistema), OWASP Top 10 y OWASP Top 10 for LLM por ítem, MITRE ATT&amp;CK para las técnicas habilitadas</w:t>
            </w:r>
            <w:r>
              <w:rPr>
                <w:b/>
                <w:smallCaps/>
                <w:u w:val="single"/>
              </w:rPr>
            </w:r>
            <w:r w:rsidRPr="007616B6">
              <w:rPr>
                <w:b/>
                <w:smallCaps/>
                <w:u w:val="single"/>
              </w:rPr>
            </w:r>
            <w:r>
              <w:rPr>
                <w:b/>
                <w:smallCaps/>
                <w:u w:val="single"/>
              </w:rPr>
            </w:r>
          </w:p>
        </w:tc>
      </w:tr>
      <w:tr w:rsidR="00DC3162" w14:paraId="511FDB48" w14:textId="77777777" w:rsidTr="007C0C48">
        <w:tc>
          <w:tcPr>
            <w:tcW w:w="0" w:type="auto"/>
            <w:vMerge w:val="restart"/>
            <w:vAlign w:val="center"/>
          </w:tcPr>
          <w:p w14:paraId="71A860B0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Componente</w:t>
            </w:r>
          </w:p>
        </w:tc>
        <w:tc>
          <w:tcPr>
            <w:tcW w:w="0" w:type="auto"/>
            <w:vMerge w:val="restart"/>
            <w:vAlign w:val="center"/>
          </w:tcPr>
          <w:p w14:paraId="639221DE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Ítem</w:t>
            </w:r>
          </w:p>
        </w:tc>
        <w:tc>
          <w:tcPr>
            <w:tcW w:w="0" w:type="auto"/>
            <w:gridSpan w:val="3"/>
            <w:vAlign w:val="center"/>
          </w:tcPr>
          <w:p w14:paraId="782A2B12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Implementado</w:t>
            </w:r>
          </w:p>
        </w:tc>
        <w:tc>
          <w:tcPr>
            <w:tcW w:w="0" w:type="auto"/>
            <w:gridSpan w:val="2"/>
            <w:vAlign w:val="center"/>
          </w:tcPr>
          <w:p w14:paraId="04C34130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Previsto</w:t>
            </w:r>
          </w:p>
        </w:tc>
        <w:tc>
          <w:tcPr>
            <w:tcW w:w="0" w:type="auto"/>
            <w:gridSpan w:val="2"/>
            <w:vAlign w:val="center"/>
          </w:tcPr>
          <w:p w14:paraId="51A8746D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No previsto</w:t>
            </w:r>
          </w:p>
        </w:tc>
        <w:tc>
          <w:tcPr>
            <w:tcW w:w="0" w:type="auto"/>
            <w:vMerge w:val="restart"/>
            <w:vAlign w:val="center"/>
          </w:tcPr>
          <w:p w14:paraId="468756F5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Comentario</w:t>
            </w:r>
          </w:p>
        </w:tc>
      </w:tr>
      <w:tr w:rsidR="00DC3162" w14:paraId="35CEF389" w14:textId="77777777" w:rsidTr="007C0C48">
        <w:tc>
          <w:tcPr>
            <w:tcW w:w="0" w:type="auto"/>
            <w:vMerge/>
            <w:vAlign w:val="center"/>
          </w:tcPr>
          <w:p w14:paraId="4E2C30AC" w14:textId="77777777" w:rsidR="00DC3162" w:rsidRDefault="00DC3162" w:rsidP="007C0C4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10541652" w14:textId="77777777" w:rsidR="00DC3162" w:rsidRDefault="00DC3162" w:rsidP="007C0C48">
            <w:pPr>
              <w:jc w:val="center"/>
            </w:pPr>
          </w:p>
        </w:tc>
        <w:tc>
          <w:tcPr>
            <w:tcW w:w="0" w:type="auto"/>
            <w:shd w:val="clear" w:color="auto" w:fill="00B050"/>
            <w:vAlign w:val="center"/>
          </w:tcPr>
          <w:p w14:paraId="04E9077B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>MB</w:t>
            </w:r>
          </w:p>
        </w:tc>
        <w:tc>
          <w:tcPr>
            <w:tcW w:w="0" w:type="auto"/>
            <w:shd w:val="clear" w:color="auto" w:fill="00B0F0"/>
            <w:vAlign w:val="center"/>
          </w:tcPr>
          <w:p w14:paraId="7AD0BC4B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>B</w:t>
            </w:r>
          </w:p>
        </w:tc>
        <w:tc>
          <w:tcPr>
            <w:tcW w:w="0" w:type="auto"/>
            <w:shd w:val="clear" w:color="auto" w:fill="C00000"/>
            <w:vAlign w:val="center"/>
          </w:tcPr>
          <w:p w14:paraId="34D47572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>M</w:t>
            </w:r>
          </w:p>
        </w:tc>
        <w:tc>
          <w:tcPr>
            <w:tcW w:w="0" w:type="auto"/>
            <w:shd w:val="clear" w:color="auto" w:fill="00B050"/>
            <w:vAlign w:val="center"/>
          </w:tcPr>
          <w:p w14:paraId="55AA54FA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>No es necesario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028AEE5D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 xml:space="preserve">Debe </w:t>
            </w:r>
            <w:proofErr w:type="spellStart"/>
            <w:r w:rsidRPr="0017775E">
              <w:rPr>
                <w:sz w:val="12"/>
              </w:rPr>
              <w:t>Implem</w:t>
            </w:r>
            <w:proofErr w:type="spellEnd"/>
          </w:p>
        </w:tc>
        <w:tc>
          <w:tcPr>
            <w:tcW w:w="0" w:type="auto"/>
            <w:shd w:val="clear" w:color="auto" w:fill="00B0F0"/>
            <w:vAlign w:val="center"/>
          </w:tcPr>
          <w:p w14:paraId="26E71CB6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>No es necesario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0B452B12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 xml:space="preserve">Debe </w:t>
            </w:r>
            <w:proofErr w:type="spellStart"/>
            <w:r w:rsidRPr="0017775E">
              <w:rPr>
                <w:sz w:val="12"/>
              </w:rPr>
              <w:t>Implem</w:t>
            </w:r>
            <w:proofErr w:type="spellEnd"/>
          </w:p>
        </w:tc>
        <w:tc>
          <w:tcPr>
            <w:tcW w:w="0" w:type="auto"/>
            <w:vMerge/>
            <w:shd w:val="clear" w:color="auto" w:fill="FFC000"/>
            <w:vAlign w:val="center"/>
          </w:tcPr>
          <w:p w14:paraId="7791F773" w14:textId="77777777" w:rsidR="00DC3162" w:rsidRPr="0017775E" w:rsidRDefault="00DC3162" w:rsidP="007C0C48">
            <w:pPr>
              <w:jc w:val="center"/>
              <w:rPr>
                <w:sz w:val="12"/>
              </w:rPr>
            </w:pPr>
          </w:p>
        </w:tc>
      </w:tr>
      <w:tr>
        <w:tc>
          <w:tcPr>
            <w:tcW w:type="dxa" w:w="1521"/>
          </w:tcPr>
          <w:p>
            <w:r>
              <w:t>Canal</w:t>
            </w:r>
          </w:p>
        </w:tc>
        <w:tc>
          <w:tcPr>
            <w:tcW w:type="dxa" w:w="2305"/>
          </w:tcPr>
          <w:p>
            <w:r>
              <w:t>Identidad y rol del pedido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Canal</w:t>
            </w:r>
          </w:p>
        </w:tc>
        <w:tc>
          <w:tcPr>
            <w:tcW w:type="dxa" w:w="2305"/>
          </w:tcPr>
          <w:p>
            <w:r>
              <w:t>No persistencia de la prosa del pedido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Canal</w:t>
            </w:r>
          </w:p>
        </w:tc>
        <w:tc>
          <w:tcPr>
            <w:tcW w:type="dxa" w:w="2305"/>
          </w:tcPr>
          <w:p>
            <w:r>
              <w:t>La prosa del pedido es dato, nunca instrucción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Interpretación</w:t>
            </w:r>
          </w:p>
        </w:tc>
        <w:tc>
          <w:tcPr>
            <w:tcW w:type="dxa" w:w="2305"/>
          </w:tcPr>
          <w:p>
            <w:r>
              <w:t>Catálogo cerrado de intenciones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Interpretación</w:t>
            </w:r>
          </w:p>
        </w:tc>
        <w:tc>
          <w:tcPr>
            <w:tcW w:type="dxa" w:w="2305"/>
          </w:tcPr>
          <w:p>
            <w:r>
              <w:t>Registro sin prosa ni identidad en claro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Interpretación</w:t>
            </w:r>
          </w:p>
        </w:tc>
        <w:tc>
          <w:tcPr>
            <w:tcW w:type="dxa" w:w="2305"/>
          </w:tcPr>
          <w:p>
            <w:r>
              <w:t>Fallback del intérprete validado contra contrato acotado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Generación</w:t>
            </w:r>
          </w:p>
        </w:tc>
        <w:tc>
          <w:tcPr>
            <w:tcW w:type="dxa" w:w="2305"/>
          </w:tcPr>
          <w:p>
            <w:r>
              <w:t>Gate de salida fail-closed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Generación</w:t>
            </w:r>
          </w:p>
        </w:tc>
        <w:tc>
          <w:tcPr>
            <w:tcW w:type="dxa" w:w="2305"/>
          </w:tcPr>
          <w:p>
            <w:r>
              <w:t>Marca de borrador revalidada en el destino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Generación</w:t>
            </w:r>
          </w:p>
        </w:tc>
        <w:tc>
          <w:tcPr>
            <w:tcW w:type="dxa" w:w="2305"/>
          </w:tcPr>
          <w:p>
            <w:r>
              <w:t>Modelo local sin salida a internet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Gates</w:t>
            </w:r>
          </w:p>
        </w:tc>
        <w:tc>
          <w:tcPr>
            <w:tcW w:type="dxa" w:w="2305"/>
          </w:tcPr>
          <w:p>
            <w:r>
              <w:t>Fail-closed por tipo y origen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Gates</w:t>
            </w:r>
          </w:p>
        </w:tc>
        <w:tc>
          <w:tcPr>
            <w:tcW w:type="dxa" w:w="2305"/>
          </w:tcPr>
          <w:p>
            <w:r>
              <w:t>Integridad del gate (SLO del 100 %)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Control de pagos</w:t>
            </w:r>
          </w:p>
        </w:tc>
        <w:tc>
          <w:tcPr>
            <w:tcW w:type="dxa" w:w="2305"/>
          </w:tcPr>
          <w:p>
            <w:r>
              <w:t>Buzón propio de sólo lectura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Control de pagos</w:t>
            </w:r>
          </w:p>
        </w:tc>
        <w:tc>
          <w:tcPr>
            <w:tcW w:type="dxa" w:w="2305"/>
          </w:tcPr>
          <w:p>
            <w:r>
              <w:t>Nada se persiste; adjuntos hasheados en memoria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Control de pagos</w:t>
            </w:r>
          </w:p>
        </w:tc>
        <w:tc>
          <w:tcPr>
            <w:tcW w:type="dxa" w:w="2305"/>
          </w:tcPr>
          <w:p>
            <w:r>
              <w:t>Situación de pago derivada, sin estado propio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Aprobación</w:t>
            </w:r>
          </w:p>
        </w:tc>
        <w:tc>
          <w:tcPr>
            <w:tcW w:type="dxa" w:w="2305"/>
          </w:tcPr>
          <w:p>
            <w:r>
              <w:t>Identidad verificada por Google en el Form de decisiones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Aprobación</w:t>
            </w:r>
          </w:p>
        </w:tc>
        <w:tc>
          <w:tcPr>
            <w:tcW w:type="dxa" w:w="2305"/>
          </w:tcPr>
          <w:p>
            <w:r>
              <w:t>Links alterados y objetos inexistentes se rechazan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Aprobación</w:t>
            </w:r>
          </w:p>
        </w:tc>
        <w:tc>
          <w:tcPr>
            <w:tcW w:type="dxa" w:w="2305"/>
          </w:tcPr>
          <w:p>
            <w:r>
              <w:t>La aprobación ata el objeto por sha256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Cola y envío</w:t>
            </w:r>
          </w:p>
        </w:tc>
        <w:tc>
          <w:tcPr>
            <w:tcW w:type="dxa" w:w="2305"/>
          </w:tcPr>
          <w:p>
            <w:r>
              <w:t>Doble aprobación obligatoria por máquina de estados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Cola y envío</w:t>
            </w:r>
          </w:p>
        </w:tc>
        <w:tc>
          <w:tcPr>
            <w:tcW w:type="dxa" w:w="2305"/>
          </w:tcPr>
          <w:p>
            <w:r>
              <w:t>Lista de prueba del envío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Cola y envío</w:t>
            </w:r>
          </w:p>
        </w:tc>
        <w:tc>
          <w:tcPr>
            <w:tcW w:type="dxa" w:w="2305"/>
          </w:tcPr>
          <w:p>
            <w:r>
              <w:t>Idempotencia durable y reconciliación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Persistencia y auditoría</w:t>
            </w:r>
          </w:p>
        </w:tc>
        <w:tc>
          <w:tcPr>
            <w:tcW w:type="dxa" w:w="2305"/>
          </w:tcPr>
          <w:p>
            <w:r>
              <w:t>Almacenamiento de credenciales y contraseñas</w:t>
            </w:r>
          </w:p>
        </w:tc>
        <w:tc>
          <w:tcPr>
            <w:tcW w:type="dxa" w:w="505"/>
          </w:tcPr>
          <w:p>
            <w:pPr>
              <w:jc w:val="center"/>
            </w:pPr>
            <w:r/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Persistencia y auditoría</w:t>
            </w:r>
          </w:p>
        </w:tc>
        <w:tc>
          <w:tcPr>
            <w:tcW w:type="dxa" w:w="2305"/>
          </w:tcPr>
          <w:p>
            <w:r>
              <w:t>Auditoría y reportes sólo de códigos, conteos y hashes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Persistencia y auditoría</w:t>
            </w:r>
          </w:p>
        </w:tc>
        <w:tc>
          <w:tcPr>
            <w:tcW w:type="dxa" w:w="2305"/>
          </w:tcPr>
          <w:p>
            <w:r>
              <w:t>Registros durables fail-closed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Integraciones</w:t>
            </w:r>
          </w:p>
        </w:tc>
        <w:tc>
          <w:tcPr>
            <w:tcW w:type="dxa" w:w="2305"/>
          </w:tcPr>
          <w:p>
            <w:r>
              <w:t>Allowlist de hosts del plano de datos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Integraciones</w:t>
            </w:r>
          </w:p>
        </w:tc>
        <w:tc>
          <w:tcPr>
            <w:tcW w:type="dxa" w:w="2305"/>
          </w:tcPr>
          <w:p>
            <w:r>
              <w:t>El token nunca se guarda ni se registra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Integraciones</w:t>
            </w:r>
          </w:p>
        </w:tc>
        <w:tc>
          <w:tcPr>
            <w:tcW w:type="dxa" w:w="2305"/>
          </w:tcPr>
          <w:p>
            <w:r>
              <w:t>Cifrado en tránsito de las llamadas a Workspace (TLS)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Mecanismo de identidad (eje 1, I)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Riesgo aceptado de la delegación sobre el dominio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Custodia y transporte del secreto (eje 4, I + RA)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Secretos fuera del repo y del log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Manifest de versión y arranque fail-closed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Ejecución en contenedores endurecidos</w:t>
            </w:r>
          </w:p>
        </w:tc>
        <w:tc>
          <w:tcPr>
            <w:tcW w:type="dxa" w:w="505"/>
          </w:tcPr>
          <w:p>
            <w:pPr>
              <w:jc w:val="center"/>
            </w:pPr>
            <w:r>
              <w:t>X</w:t>
            </w:r>
          </w:p>
        </w:tc>
        <w:tc>
          <w:tcPr>
            <w:tcW w:type="dxa" w:w="371"/>
          </w:tcPr>
          <w:p>
            <w:pPr>
              <w:jc w:val="center"/>
            </w:pPr>
            <w:r/>
          </w:p>
        </w:tc>
        <w:tc>
          <w:tcPr>
            <w:tcW w:type="dxa" w:w="419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839"/>
          </w:tcPr>
          <w:p>
            <w:pPr>
              <w:jc w:val="center"/>
            </w:pPr>
            <w:r/>
          </w:p>
        </w:tc>
        <w:tc>
          <w:tcPr>
            <w:tcW w:type="dxa" w:w="732"/>
          </w:tcPr>
          <w:p>
            <w:pPr>
              <w:jc w:val="center"/>
            </w:pPr>
            <w:r/>
          </w:p>
        </w:tc>
        <w:tc>
          <w:tcPr>
            <w:tcW w:type="dxa" w:w="1081"/>
          </w:tcPr>
          <w:p>
            <w:r/>
          </w:p>
        </w:tc>
      </w:tr>
    </w:tbl>
    <w:p w14:paraId="5212623F" w14:textId="3A171D86" w:rsidR="00DC3162" w:rsidRDefault="00DC3162" w:rsidP="00DC3162"/>
    <w:p w14:paraId="718372E1" w14:textId="77777777" w:rsidR="00021D4D" w:rsidRPr="00021D4D" w:rsidRDefault="00021D4D" w:rsidP="00021D4D">
      <w:pPr>
        <w:jc w:val="both"/>
        <w:rPr>
          <w:b/>
          <w:bCs/>
          <w:smallCaps/>
          <w:sz w:val="24"/>
          <w:szCs w:val="24"/>
        </w:rPr>
      </w:pPr>
      <w:r w:rsidRPr="00021D4D">
        <w:rPr>
          <w:b/>
          <w:bCs/>
          <w:smallCaps/>
          <w:sz w:val="24"/>
          <w:szCs w:val="24"/>
        </w:rPr>
        <w:t>Referencias:</w:t>
      </w:r>
    </w:p>
    <w:p w14:paraId="5ADB113B" w14:textId="4CBF5247" w:rsidR="00021D4D" w:rsidRDefault="00021D4D" w:rsidP="00021D4D">
      <w:pPr>
        <w:jc w:val="both"/>
        <w:rPr>
          <w:sz w:val="24"/>
          <w:szCs w:val="24"/>
        </w:rPr>
      </w:pPr>
      <w:r>
        <w:rPr>
          <w:sz w:val="24"/>
          <w:szCs w:val="24"/>
        </w:rPr>
        <w:t>NIST Cybersecurity Framework (CSF) 2.0, OWASP Top 10 (2021), OWASP Top 10 for LLM Applications y MITRE ATT&amp;CK.</w:t>
      </w:r>
    </w:p>
    <w:p w14:paraId="23D46E62" w14:textId="77777777" w:rsidR="008001EE" w:rsidRPr="00D863CF" w:rsidRDefault="008001EE" w:rsidP="00DC3162"/>
    <w:p w14:paraId="2FC931C8" w14:textId="32B15ACB" w:rsidR="00DC3162" w:rsidRDefault="00DC3162" w:rsidP="00CC7153">
      <w:pPr>
        <w:jc w:val="both"/>
        <w:rPr>
          <w:sz w:val="24"/>
          <w:szCs w:val="24"/>
        </w:rPr>
      </w:pPr>
    </w:p>
    <w:p w14:paraId="58F4E813" w14:textId="467801EF" w:rsidR="00E46571" w:rsidRDefault="00E46571" w:rsidP="00CC7153">
      <w:pPr>
        <w:jc w:val="both"/>
        <w:rPr>
          <w:sz w:val="24"/>
          <w:szCs w:val="24"/>
        </w:rPr>
      </w:pPr>
    </w:p>
    <w:p w14:paraId="04EF1049" w14:textId="6250678E" w:rsidR="00E46571" w:rsidRDefault="00E46571" w:rsidP="00CC7153">
      <w:pPr>
        <w:jc w:val="both"/>
        <w:rPr>
          <w:sz w:val="24"/>
          <w:szCs w:val="24"/>
        </w:rPr>
      </w:pPr>
    </w:p>
    <w:p w14:paraId="41A1A4C7" w14:textId="713B393C" w:rsidR="00E46571" w:rsidRDefault="00E46571" w:rsidP="00CC7153">
      <w:pPr>
        <w:jc w:val="both"/>
        <w:rPr>
          <w:sz w:val="24"/>
          <w:szCs w:val="24"/>
        </w:rPr>
      </w:pPr>
    </w:p>
    <w:p w14:paraId="080FB5ED" w14:textId="77777777" w:rsidR="00E46571" w:rsidRDefault="00E46571" w:rsidP="00CC7153">
      <w:pPr>
        <w:jc w:val="both"/>
        <w:rPr>
          <w:sz w:val="24"/>
          <w:szCs w:val="24"/>
        </w:rPr>
      </w:pPr>
    </w:p>
    <w:sectPr w:rsidR="00E46571" w:rsidSect="00EE654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8" w:right="1134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9366E" w14:textId="77777777" w:rsidR="00073238" w:rsidRDefault="00073238" w:rsidP="004E21F1">
      <w:pPr>
        <w:spacing w:after="0" w:line="240" w:lineRule="auto"/>
      </w:pPr>
      <w:r>
        <w:separator/>
      </w:r>
    </w:p>
  </w:endnote>
  <w:endnote w:type="continuationSeparator" w:id="0">
    <w:p w14:paraId="5C3DA4DD" w14:textId="77777777" w:rsidR="00073238" w:rsidRDefault="00073238" w:rsidP="004E21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E724B" w14:textId="77777777" w:rsidR="00F74F48" w:rsidRDefault="00F74F4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6666F" w14:textId="77777777" w:rsidR="00F74F48" w:rsidRDefault="00F74F48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0D5E2" w14:textId="77777777" w:rsidR="00F74F48" w:rsidRDefault="00F74F4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3C8CD9" w14:textId="77777777" w:rsidR="00073238" w:rsidRDefault="00073238" w:rsidP="004E21F1">
      <w:pPr>
        <w:spacing w:after="0" w:line="240" w:lineRule="auto"/>
      </w:pPr>
      <w:r>
        <w:separator/>
      </w:r>
    </w:p>
  </w:footnote>
  <w:footnote w:type="continuationSeparator" w:id="0">
    <w:p w14:paraId="26C946AB" w14:textId="77777777" w:rsidR="00073238" w:rsidRDefault="00073238" w:rsidP="004E21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38032" w14:textId="77777777" w:rsidR="00F74F48" w:rsidRDefault="00F74F4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176B8" w14:textId="4C58AEAD" w:rsidR="003B278C" w:rsidRDefault="003B278C" w:rsidP="003B278C">
    <w:pPr>
      <w:pStyle w:val="Encabezado"/>
      <w:rPr>
        <w:rFonts w:ascii="Lucida Bright" w:hAnsi="Lucida Bright"/>
        <w:i/>
        <w:iCs/>
      </w:rPr>
    </w:pPr>
    <w:r w:rsidRPr="004E21F1">
      <w:rPr>
        <w:rFonts w:ascii="Lucida Bright" w:hAnsi="Lucida Bright"/>
        <w:i/>
        <w:iCs/>
      </w:rPr>
      <w:t>FIE - UNDEF</w:t>
    </w:r>
    <w:r w:rsidRPr="004E21F1">
      <w:rPr>
        <w:rFonts w:ascii="Lucida Bright" w:hAnsi="Lucida Bright"/>
        <w:i/>
        <w:iCs/>
      </w:rPr>
      <w:ptab w:relativeTo="margin" w:alignment="center" w:leader="none"/>
    </w:r>
    <w:r w:rsidRPr="004E21F1">
      <w:rPr>
        <w:rFonts w:ascii="Lucida Bright" w:hAnsi="Lucida Bright"/>
        <w:i/>
        <w:iCs/>
      </w:rPr>
      <w:t>Proyecto de Promoción y Síntesis</w:t>
    </w:r>
    <w:r w:rsidRPr="004E21F1">
      <w:rPr>
        <w:rFonts w:ascii="Lucida Bright" w:hAnsi="Lucida Bright"/>
        <w:i/>
        <w:iCs/>
      </w:rPr>
      <w:ptab w:relativeTo="margin" w:alignment="right" w:leader="none"/>
    </w:r>
    <w:r>
      <w:rPr>
        <w:rFonts w:ascii="Lucida Bright" w:hAnsi="Lucida Bright"/>
        <w:i/>
        <w:iCs/>
      </w:rPr>
      <w:t>Ciclo Lectivo 2026</w:t>
    </w:r>
    <w:r w:rsidR="006041A0">
      <w:rPr>
        <w:rFonts w:ascii="Lucida Bright" w:hAnsi="Lucida Bright"/>
        <w:i/>
        <w:iCs/>
      </w:rPr>
    </w:r>
  </w:p>
  <w:p w14:paraId="25A41F14" w14:textId="77777777" w:rsidR="003B278C" w:rsidRPr="004E21F1" w:rsidRDefault="003B278C" w:rsidP="003B278C">
    <w:pPr>
      <w:pStyle w:val="Encabezado"/>
      <w:rPr>
        <w:rFonts w:ascii="Lucida Bright" w:hAnsi="Lucida Bright"/>
        <w:i/>
        <w:iCs/>
      </w:rPr>
    </w:pPr>
    <w:r>
      <w:rPr>
        <w:rFonts w:ascii="Lucida Bright" w:hAnsi="Lucida Bright"/>
        <w:i/>
        <w:iCs/>
      </w:rPr>
      <w:tab/>
      <w:t>Ingeniería Informática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96E93" w14:textId="77777777" w:rsidR="00F74F48" w:rsidRDefault="00F74F4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73E5B"/>
    <w:multiLevelType w:val="hybridMultilevel"/>
    <w:tmpl w:val="DF5C4D26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755039"/>
    <w:multiLevelType w:val="hybridMultilevel"/>
    <w:tmpl w:val="BEEE3AA8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85478E"/>
    <w:multiLevelType w:val="hybridMultilevel"/>
    <w:tmpl w:val="864A34D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66600E"/>
    <w:multiLevelType w:val="hybridMultilevel"/>
    <w:tmpl w:val="895C1D18"/>
    <w:lvl w:ilvl="0" w:tplc="2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67BF5DE9"/>
    <w:multiLevelType w:val="hybridMultilevel"/>
    <w:tmpl w:val="6AB88B4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6B2062"/>
    <w:multiLevelType w:val="hybridMultilevel"/>
    <w:tmpl w:val="3E628C5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2592749">
    <w:abstractNumId w:val="3"/>
  </w:num>
  <w:num w:numId="2" w16cid:durableId="2020541122">
    <w:abstractNumId w:val="1"/>
  </w:num>
  <w:num w:numId="3" w16cid:durableId="1461846717">
    <w:abstractNumId w:val="2"/>
  </w:num>
  <w:num w:numId="4" w16cid:durableId="1051925030">
    <w:abstractNumId w:val="0"/>
  </w:num>
  <w:num w:numId="5" w16cid:durableId="487790465">
    <w:abstractNumId w:val="5"/>
  </w:num>
  <w:num w:numId="6" w16cid:durableId="8427436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28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1F1"/>
    <w:rsid w:val="000144F7"/>
    <w:rsid w:val="00021D4D"/>
    <w:rsid w:val="0002629D"/>
    <w:rsid w:val="00073238"/>
    <w:rsid w:val="000C247C"/>
    <w:rsid w:val="001E4BCF"/>
    <w:rsid w:val="001F0BB8"/>
    <w:rsid w:val="002C5098"/>
    <w:rsid w:val="00340E50"/>
    <w:rsid w:val="00360A86"/>
    <w:rsid w:val="003B278C"/>
    <w:rsid w:val="003E3F02"/>
    <w:rsid w:val="00482558"/>
    <w:rsid w:val="004B1E37"/>
    <w:rsid w:val="004E21F1"/>
    <w:rsid w:val="00503E26"/>
    <w:rsid w:val="006041A0"/>
    <w:rsid w:val="00682FC5"/>
    <w:rsid w:val="00722854"/>
    <w:rsid w:val="007402EE"/>
    <w:rsid w:val="007616B6"/>
    <w:rsid w:val="00761CB8"/>
    <w:rsid w:val="008001EE"/>
    <w:rsid w:val="00832944"/>
    <w:rsid w:val="00905C5F"/>
    <w:rsid w:val="00972AF8"/>
    <w:rsid w:val="00A17BDF"/>
    <w:rsid w:val="00AB202B"/>
    <w:rsid w:val="00BF1B7E"/>
    <w:rsid w:val="00C20397"/>
    <w:rsid w:val="00CC6C86"/>
    <w:rsid w:val="00CC7153"/>
    <w:rsid w:val="00CF2529"/>
    <w:rsid w:val="00D6261B"/>
    <w:rsid w:val="00DC3162"/>
    <w:rsid w:val="00E1173B"/>
    <w:rsid w:val="00E35E19"/>
    <w:rsid w:val="00E46571"/>
    <w:rsid w:val="00EB5D72"/>
    <w:rsid w:val="00EE6546"/>
    <w:rsid w:val="00F74F48"/>
    <w:rsid w:val="00F86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E87A6"/>
  <w15:chartTrackingRefBased/>
  <w15:docId w15:val="{271DADC9-E92B-46B2-827E-BA33895EF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E21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E21F1"/>
  </w:style>
  <w:style w:type="paragraph" w:styleId="Piedepgina">
    <w:name w:val="footer"/>
    <w:basedOn w:val="Normal"/>
    <w:link w:val="PiedepginaCar"/>
    <w:uiPriority w:val="99"/>
    <w:unhideWhenUsed/>
    <w:rsid w:val="004E21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E21F1"/>
  </w:style>
  <w:style w:type="paragraph" w:styleId="Prrafodelista">
    <w:name w:val="List Paragraph"/>
    <w:basedOn w:val="Normal"/>
    <w:uiPriority w:val="34"/>
    <w:qFormat/>
    <w:rsid w:val="000144F7"/>
    <w:pPr>
      <w:ind w:left="720"/>
      <w:contextualSpacing/>
      <w:jc w:val="both"/>
    </w:pPr>
  </w:style>
  <w:style w:type="table" w:styleId="Tablaconcuadrcula">
    <w:name w:val="Table Grid"/>
    <w:basedOn w:val="Tablanormal"/>
    <w:uiPriority w:val="39"/>
    <w:rsid w:val="00905C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117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Elvira Quiroga</dc:creator>
  <cp:keywords/>
  <dc:description/>
  <cp:lastModifiedBy>elvira quiroga</cp:lastModifiedBy>
  <cp:revision>6</cp:revision>
  <dcterms:created xsi:type="dcterms:W3CDTF">2024-09-24T14:29:00Z</dcterms:created>
  <dcterms:modified xsi:type="dcterms:W3CDTF">2025-05-07T21:31:00Z</dcterms:modified>
</cp:coreProperties>
</file>