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3C3E" w14:textId="250B1880" w:rsidR="004E21F1" w:rsidRPr="00CF2529" w:rsidRDefault="004E21F1" w:rsidP="004E21F1">
      <w:pPr>
        <w:jc w:val="center"/>
        <w:rPr>
          <w:sz w:val="28"/>
          <w:szCs w:val="28"/>
        </w:rPr>
      </w:pPr>
      <w:r w:rsidRPr="00CF2529">
        <w:rPr>
          <w:sz w:val="28"/>
          <w:szCs w:val="28"/>
        </w:rPr>
        <w:t>Evaluación del Proyecto</w:t>
      </w:r>
      <w:r w:rsidR="000144F7" w:rsidRPr="00CF2529">
        <w:rPr>
          <w:sz w:val="28"/>
          <w:szCs w:val="28"/>
        </w:rPr>
        <w:t xml:space="preserve"> – Presentación</w:t>
      </w:r>
    </w:p>
    <w:p w14:paraId="51B21CEB" w14:textId="043AB667" w:rsidR="000144F7" w:rsidRDefault="000144F7" w:rsidP="004E21F1">
      <w:pPr>
        <w:jc w:val="center"/>
      </w:pPr>
      <w:r>
        <w:t>Título del Proyecto</w:t>
      </w:r>
    </w:p>
    <w:p>
      <w:r>
        <w:t>Proyecto Centenario, Agente 1: Extensión Bot para la Secretaría de Extensión Universitaria de la FIE (Facultad de Ingeniería del Ejército, Universidad de la Defensa Nacional)</w:t>
      </w:r>
    </w:p>
    <w:p w14:paraId="16E5EB33" w14:textId="41ACA45C" w:rsidR="000144F7" w:rsidRDefault="000144F7" w:rsidP="004E21F1">
      <w:pPr>
        <w:jc w:val="center"/>
      </w:pPr>
      <w:r>
        <w:t>Concepto General del Proyecto</w:t>
      </w:r>
    </w:p>
    <w:p w14:paraId="172A21E9" w14:textId="30CB71B2" w:rsidR="000144F7" w:rsidRDefault="000144F7" w:rsidP="004E21F1">
      <w:pPr>
        <w:jc w:val="center"/>
      </w:pPr>
      <w:r>
        <w:t>El Agente 1 (Extensión Bot) es el agente de comunicación institucional del Proyecto Centenario (P100) de la Facultad de Ingeniería del Ejército (FIE), Universidad de la Defensa Nacional. Prepara piezas comunicacionales para la Secretaría de Extensión Universitaria (SEU) dentro del Proceso 4: gacetillas, publicaciones para redes sociales, correos y confirmaciones, y certificados. Su producto es siempre un borrador: el agente no publica, no difunde ni decide; toda pieza que llega a un destinatario o a una publicación pasó por una validación humana registrada, y cada salida queda marcada como pendiente de validación.</w:t>
      </w:r>
      <w:proofErr w:type="spellStart"/>
      <w:r/>
      <w:proofErr w:type="spellEnd"/>
      <w:r/>
    </w:p>
    <w:p>
      <w:r>
        <w:t>El proyecto se desarrolla a lo largo de un año académico (dos semestres de 2026) con maduración progresiva por niveles TRL: el objetivo del primer semestre es TRL 3 y el del segundo, TRL 4, en ambos casos sujeto a la decisión del gate correspondiente. Se ejecuta sobre tecnologías de código abierto y sobre la suite institucional Google Workspace; los modelos de lenguaje corren localmente (Ollama) como medida de diseño para preservar la soberanía de los datos institucionales. La estimación de costos del año de alcance se ubica en el rango de USD 0 a USD 1.400, según se utilicen o no componentes opcionales de infraestructura, respaldo o contingencia.</w:t>
      </w:r>
    </w:p>
    <w:p>
      <w:r>
        <w:t>Este documento es el Anexo 1 de la revisión de laboratorio: presenta el sistema de demostración (el Agente 1 en todo su alcance declarado, funcionando de punta a punta en vivo) y su perfil de calidad por estrato. El detalle por atributo, en el orden del estándar, está en el Anexo 2; el perfil de seguridad, en el Anexo 3.</w:t>
      </w:r>
    </w:p>
    <w:p w14:paraId="7B9D97F0" w14:textId="07D5808D" w:rsidR="000144F7" w:rsidRDefault="00CF2529" w:rsidP="004E21F1">
      <w:pPr>
        <w:jc w:val="center"/>
      </w:pPr>
      <w:r>
        <w:rPr>
          <w:noProof/>
        </w:rPr>
        <mc:AlternateContent>
          <mc:Choice Requires="wps">
            <w:drawing>
              <wp:anchor distT="0" distB="0" distL="114300" distR="114300" simplePos="0" relativeHeight="251659264" behindDoc="0" locked="0" layoutInCell="1" allowOverlap="1" wp14:anchorId="79E3AAD9" wp14:editId="156B934B">
                <wp:simplePos x="0" y="0"/>
                <wp:positionH relativeFrom="column">
                  <wp:posOffset>241253</wp:posOffset>
                </wp:positionH>
                <wp:positionV relativeFrom="paragraph">
                  <wp:posOffset>8633</wp:posOffset>
                </wp:positionV>
                <wp:extent cx="5058000" cy="0"/>
                <wp:effectExtent l="0" t="19050" r="28575" b="19050"/>
                <wp:wrapNone/>
                <wp:docPr id="1" name="Conector recto 1"/>
                <wp:cNvGraphicFramePr/>
                <a:graphic xmlns:a="http://schemas.openxmlformats.org/drawingml/2006/main">
                  <a:graphicData uri="http://schemas.microsoft.com/office/word/2010/wordprocessingShape">
                    <wps:wsp>
                      <wps:cNvCnPr/>
                      <wps:spPr>
                        <a:xfrm flipV="1">
                          <a:off x="0" y="0"/>
                          <a:ext cx="5058000" cy="0"/>
                        </a:xfrm>
                        <a:prstGeom prst="line">
                          <a:avLst/>
                        </a:prstGeom>
                        <a:ln w="381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C2710"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7pt" to="417.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" strokecolor="#212934 [1615]" strokeweight="3pt">
                <v:stroke joinstyle="miter"/>
              </v:line>
            </w:pict>
          </mc:Fallback>
        </mc:AlternateContent>
      </w:r>
    </w:p>
    <w:p w14:paraId="4D12B4DB" w14:textId="0FE90B88" w:rsidR="000144F7" w:rsidRPr="000144F7" w:rsidRDefault="000144F7" w:rsidP="000144F7">
      <w:pPr>
        <w:pStyle w:val="Prrafodelista"/>
        <w:numPr>
          <w:ilvl w:val="0"/>
          <w:numId w:val="5"/>
        </w:numPr>
        <w:rPr>
          <w:sz w:val="24"/>
          <w:szCs w:val="24"/>
        </w:rPr>
      </w:pPr>
      <w:r w:rsidRPr="000144F7">
        <w:rPr>
          <w:sz w:val="24"/>
          <w:szCs w:val="24"/>
        </w:rPr>
        <w:t>Enfoque del proyecto</w:t>
      </w:r>
    </w:p>
    <w:p>
      <w:r>
        <w:t>• Enfoque iterativo-incremental con gates por semestre. El proyecto sigue los cinco pasos metodológicos del Director del Proyecto (relevamiento, diseño, prototipado, validación y documentación) y se gestiona con un tablero Kanban. Cada semestre cierra en un gate de evaluación TRL con su paquete de evidencia; ningún gate se declara cerrado sólo por documentación narrativa ni por demostración informal.</w:t>
      </w:r>
    </w:p>
    <w:p>
      <w:r>
        <w:t>• Validación humana obligatoria. El mecanismo es estructural y no puede deshabilitarse sin modificar el código: las piezas de difusión (gacetillas y posts) requieren la decisión de publicación registrada por quien publica o descarta el borrador; las piezas que el agente envía o emite (confirmaciones y certificados) requieren la plantilla aprobada más la aprobación de lote previa al envío.</w:t>
      </w:r>
    </w:p>
    <w:p>
      <w:r>
        <w:t>• Ejecución local, aislada y fail-closed. Los modelos corren en infraestructura propia, en un contenedor sin salida a internet, y el agente falla cerrado en cada frontera: lo que no cumple se rechaza antes de generar, escribir o tocar el registro, y el contenedor no arranca si un archivo controlado no coincide con su versión. La auditoría guarda códigos, conteos y hashes, nunca contenido ni datos personales en claro.</w:t>
      </w:r>
    </w:p>
    <w:p>
      <w:r>
        <w:t>• Sistema de demostración sin capacidades detenidas. El sistema corre en el servidor de la facultad, en contenedores desplegados desde el repositorio al cortar cada versión (ADR 0013): el modelo local (gemma4:e4b sobre Ollama) en un contenedor sin salida a internet y el agente sobre Google Workspace D2 con la cuenta de servicio de DSI. Lo que depende de un tercero (plantillas, firmas, política de redes, identidad del personal, unidad compartida de D3) corre contra un destino de prueba o un insumo provisional declarado, por el mismo mecanismo productivo y nunca contra un fake, con la meta de conseguir el original.</w:t>
      </w:r>
    </w:p>
    <w:p>
      <w:r>
        <w:t>• Alcance acotado y excluido. El agente se limita a la comunicación institucional del Proceso 4 y a las historias HU-010 a HU-014. Queda fuera el reemplazo de personal, la publicación o el envío sin validación humana, la analítica y el scraping, la atención masiva al público, la infraestructura de alto costo y toda integración externa compleja no definida.</w:t>
      </w:r>
    </w:p>
    <w:p>
      <w:r>
        <w:t>Estado de las capacidades contra el gate TRL 4</w:t>
      </w:r>
    </w:p>
    <w:p>
      <w:r>
        <w:t>Este anexo declara el estado de las capacidades contra el gate TRL 4. Las cifras y los estados de las tablas por estrato son los de la foto declarada en el corte del 26/10/2026, versión 0.5.7 (tag agente1-v0.5.7). La nota sobre fechas y estado verificado del anteproyecto conserva el corte del 21/09/2026; cuando uno y otro citan un número, corresponde a su propia fecha, y la revisión de laboratorio evalúa la foto de este anexo.</w:t>
      </w:r>
    </w:p>
    <w:p>
      <w:r>
        <w:t>Demostrado sobre el sistema de demostración. El 23/10/2026, desde el contenedor del servidor y con la cuenta de servicio: smoke de lectura, gacetilla y posts de Instagram y LinkedIn de extremo a extremo con borrador real en la carpeta autorizada (sin modificar nada existente), el circuito completo de HU-012/HU-013 y de HU-014 contra destinos de prueba, el envío real por Gmail a la lista de prueba, el scheduler tomando un insumo de A3 de la pestaña de la planilla, el respaldo en Drive con su restauración, la vuelta atrás de versión y la recuperación ante una caída del proceso. Desde el 26/10 el scheduler corre solo en el servidor y sube el respaldo diario. HU-010 a HU-014 están implementadas dentro del alcance declarado: la gacetilla declara los siete tipos del corpus, dos que generan prosa con prompt propio (difusión de actividad y saludo o efeméride) y cinco que extraen y confirman sin prosa del modelo (crónica de evento, aviso de otra área, convocatoria interna, fallecimiento y newsletter), cada tipo con su forma declarada, su contrato de entrada y su gate, y un renderer único que escribe las partes institucionales fijas, que el modelo nunca escribe (#121); además post, plantilla de correo por actividad y certificado con línea descriptiva y circuito de lote. La suite y las matrices por historia las ejercitan, y cada fila A o B de las tablas por estrato cita su evidencia versionada y su paso en vivo.</w:t>
      </w:r>
    </w:p>
    <w:p>
      <w:r>
        <w:t>No demostrado.</w:t>
      </w:r>
    </w:p>
    <w:p>
      <w:r>
        <w:t>• La forma declarada de los siete tipos de gacetilla y su modo por tipo siguen sin aprobación institucional de la SEU: los archivos de forma están marcados PROVISIONAL_NO_INSTITUCIONAL y la aprobación entra por la validación humana obligatoria (issue #121).</w:t>
      </w:r>
    </w:p>
    <w:p>
      <w:r>
        <w:t>• La validación de calidad por referentes de la SEU: la operabilidad, la reconocibilidad de la adecuación y la prueba guiada de HU-013 están previstas y su validación registrada sigue pendiente (issue #56; la prueba guiada con una persona real de la SEU no se concretó).</w:t>
      </w:r>
    </w:p>
    <w:p>
      <w:r>
        <w:t>• Los Forms reales de HU-012, HU-013 y HU-014: el circuito completo corre contra destinos de prueba declarados. Gmail está configurado en el servidor con la lista de prueba (envío verificado el 23/10), pero los Forms de pedidos y de decisiones todavía no están definidos. Cuando existan, está previsto que el scheduler atienda el Form de pedidos en cada corrida (issue #149).</w:t>
      </w:r>
    </w:p>
    <w:p>
      <w:r>
        <w:t>• La unidad compartida institucional de D3: el cómputo corre en el servidor de la facultad, pero los recursos de Google siguen siendo los de D2 (issue #100).</w:t>
      </w:r>
    </w:p>
    <w:p>
      <w:r>
        <w:t>• Los niveles verificados de los SLO de disponibilidad, tiempo de atención, aprobación a envío y RPO/RTO: el instrumento de medición existe (issue #88) y el scheduler registra cada corrida desde el 26/10, pero todavía no hay una ventana de operación que medir. La latencia por pieza sí está medida en el servidor. El perfil declara la ausencia en lugar de un número.</w:t>
      </w:r>
    </w:p>
    <w:p>
      <w:r>
        <w:t>• El criterio formal del gate: la Dirección de carrera no fijó un criterio formal, la evidencia se presenta contra el TRL 4 de la documentación del P100 y el go/no-go lo fija el informe del laboratorio.</w:t>
      </w:r>
    </w:p>
    <w:p>
      <w:r>
        <w:t>Brecha de HU-011 cerrada en el gate, abierta en la validación. Con el modelo de la demo (gemma4:e4b, issue #51) los posts en redacción libre superan el control de contenido: gacetilla y posts 48/48 en la medición del servidor, y los dos canales generados en vivo desde el contenedor el 23/10/2026. Las mediciones anteriores con llama3.2:3b (1/6) quedaron superadas. Lo que sigue abierto es la validación editorial de la SEU, que entra por la validación humana obligatoria.</w:t>
      </w:r>
    </w:p>
    <w:p>
      <w:r>
        <w:t>El gate no está cerrado. Este anexo declara estados por atributo, no el cierre del gate. El gate TRL 4 se acredita con el informe de la revisión de laboratorio, que habilita, habilita con condiciones o no habilita la presentación de cursada del 18 de noviembre de 2026. Hasta ese informe, este anexo no declara TRL 4 alcanzado.</w:t>
      </w:r>
    </w:p>
    <w:p w14:paraId="2F9AA807" w14:textId="77777777" w:rsidR="000144F7" w:rsidRPr="000144F7" w:rsidRDefault="000144F7" w:rsidP="000144F7">
      <w:pPr>
        <w:pStyle w:val="Prrafodelista"/>
        <w:numPr>
          <w:ilvl w:val="0"/>
          <w:numId w:val="5"/>
        </w:numPr>
        <w:rPr>
          <w:sz w:val="24"/>
          <w:szCs w:val="24"/>
        </w:rPr>
      </w:pPr>
      <w:r w:rsidRPr="000144F7">
        <w:rPr>
          <w:sz w:val="24"/>
          <w:szCs w:val="24"/>
        </w:rPr>
        <w:t xml:space="preserve">Esquema general de los </w:t>
      </w:r>
      <w:r w:rsidRPr="000144F7">
        <w:rPr>
          <w:b/>
          <w:bCs/>
          <w:sz w:val="24"/>
          <w:szCs w:val="24"/>
        </w:rPr>
        <w:t>componentes</w:t>
      </w:r>
      <w:r w:rsidRPr="000144F7">
        <w:rPr>
          <w:sz w:val="24"/>
          <w:szCs w:val="24"/>
        </w:rPr>
        <w:t xml:space="preserve"> del sistema y perfil de calidad de cada uno de ellos.</w:t>
      </w:r>
    </w:p>
    <w:p>
      <w:r>
        <w:t>• Canal: Transporta pedidos de la SEU hacia el agente y resultados hacia la persona. No es una conversación abierta y no verifica identidad: la identidad llega afirmada por el canal y el rol sale de un padrón externo.</w:t>
      </w:r>
    </w:p>
    <w:p>
      <w:r>
        <w:t>• Interpretación: Clasifica la solicitud a una intención de un catálogo cerrado (o la rechaza) y resuelve la actividad por identificador, por búsqueda difusa determinística o por repregunta; nunca aproxima a la intención más parecida.</w:t>
      </w:r>
    </w:p>
    <w:p>
      <w:r>
        <w:t>• Generación: Produce las piezas como borrador (gacetilla, post, plantilla de correo por actividad y certificado con línea descriptiva) con gate mecánico de salida antes de escribir.</w:t>
      </w:r>
    </w:p>
    <w:p>
      <w:r>
        <w:t>• Gates: Controles fail-closed que deciden antes de generar, escribir o tocar el registro: política de redes, catálogo cerrado de tipos de notificación y matriz de orígenes de inscripción.</w:t>
      </w:r>
    </w:p>
    <w:p>
      <w:r>
        <w:t>• Control de pagos: Deriva la situación de pago de cada preinscripto desde las fuentes en cada corrida, como función pura sin estado propio, y planifica el lote de recordatorios y los candidatos a confirmación de inscripción.</w:t>
      </w:r>
    </w:p>
    <w:p>
      <w:r>
        <w:t>• Aprobación: Registra la validación humana: aprobaciones semántica y utilitaria por actividad, aprobación de lote y decisión de publicación, con identidad verificada por Google y rol tomado de un padrón.</w:t>
      </w:r>
    </w:p>
    <w:p>
      <w:r>
        <w:t>• Cola y envío: Encola y entrega lo aprobado con idempotencia durable, reconciliación de reservas colgadas a envío indeterminado y retención acotada del registro; el único envío automático es la confirmación de inscripción.</w:t>
      </w:r>
    </w:p>
    <w:p>
      <w:r>
        <w:t>• Persistencia y auditoría: Audita y opera las evidencias del sistema: invariantes de seguridad sobre manifiestos sanitizados, contratos operativos fail-closed y medición del nivel verificado de los SLO. Expone códigos, conteos y hashes, nunca contenido ni destinatarios.</w:t>
      </w:r>
    </w:p>
    <w:p>
      <w:r>
        <w:t>• Integraciones: Fuentes, destinos y servicios externos detrás de puertos: planilla de actividades, Docs y Drive, Gmail (envío y buzón propio), Google Forms, Ollama local y los insumos de los agentes A3 a A5.</w:t>
      </w:r>
    </w:p>
    <w:p>
      <w:r>
        <w:t>• Sistema (atributos transversales): Atributos transversales que ninguna capa ejerce sola: ausencia de fallos, disponibilidad, operabilidad, mantenibilidad, instalabilidad y los atributos de calidad de datos que dependen del dueño funcional.</w:t>
      </w:r>
    </w:p>
    <w:p w14:paraId="792ECAE3" w14:textId="0F2AC96E" w:rsidR="000144F7" w:rsidRDefault="000144F7" w:rsidP="000144F7">
      <w:pPr>
        <w:pStyle w:val="Prrafodelista"/>
        <w:numPr>
          <w:ilvl w:val="0"/>
          <w:numId w:val="5"/>
        </w:numPr>
        <w:rPr>
          <w:sz w:val="24"/>
          <w:szCs w:val="24"/>
        </w:rPr>
      </w:pPr>
      <w:r w:rsidRPr="000144F7">
        <w:rPr>
          <w:sz w:val="24"/>
          <w:szCs w:val="24"/>
        </w:rPr>
        <w:t xml:space="preserve">Detalle de </w:t>
      </w:r>
      <w:r w:rsidRPr="00A72A9C">
        <w:rPr>
          <w:b/>
          <w:bCs/>
          <w:sz w:val="24"/>
          <w:szCs w:val="24"/>
        </w:rPr>
        <w:t xml:space="preserve">atributos de </w:t>
      </w:r>
      <w:r w:rsidR="00A72A9C" w:rsidRPr="00A72A9C">
        <w:rPr>
          <w:b/>
          <w:bCs/>
          <w:sz w:val="24"/>
          <w:szCs w:val="24"/>
        </w:rPr>
        <w:t>calidad</w:t>
      </w:r>
      <w:r w:rsidR="00A72A9C">
        <w:rPr>
          <w:sz w:val="24"/>
          <w:szCs w:val="24"/>
        </w:rPr>
        <w:t xml:space="preserve"> / </w:t>
      </w:r>
      <w:r w:rsidR="00A72A9C" w:rsidRPr="00A72A9C">
        <w:rPr>
          <w:b/>
          <w:bCs/>
          <w:sz w:val="24"/>
          <w:szCs w:val="24"/>
        </w:rPr>
        <w:t>factores de (ciber)s</w:t>
      </w:r>
      <w:r w:rsidRPr="00A72A9C">
        <w:rPr>
          <w:b/>
          <w:bCs/>
          <w:sz w:val="24"/>
          <w:szCs w:val="24"/>
        </w:rPr>
        <w:t>eguridad</w:t>
      </w:r>
      <w:r w:rsidRPr="000144F7">
        <w:rPr>
          <w:sz w:val="24"/>
          <w:szCs w:val="24"/>
        </w:rPr>
        <w:t xml:space="preserve">  tenidos en cuenta en cada componente y su estado de implementación alcanzado, junto con los motivos considerados para alcanzar tal nivel de implementación.</w:t>
      </w:r>
    </w:p>
    <w:p>
      <w:r>
        <w:t>Atributos tenidos en cuenta en cada componente, con el estado de implementación declarado por el autor y su motivo. La escala de estados es la de la revisión de laboratorio: A implementado satisfactoriamente, B implementado con observaciones, C tenido en cuenta sin implementar y D desconocido o ignorado expresamente (D lo asigna el laboratorio). Los factores de (ciber)seguridad de cada estrato se declaran en el Anexo 3.</w:t>
      </w:r>
    </w:p>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Canal</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Protección contra errores del usuario</w:t>
            </w:r>
          </w:p>
        </w:tc>
        <w:tc>
          <w:tcPr>
            <w:tcW w:type="dxa" w:w="2835"/>
          </w:tcPr>
          <w:p>
            <w:r>
              <w:rPr>
                <w:sz w:val="18"/>
              </w:rPr>
              <w:t>A</w:t>
            </w:r>
          </w:p>
        </w:tc>
        <w:tc>
          <w:tcPr>
            <w:tcW w:type="dxa" w:w="2835"/>
          </w:tcPr>
          <w:p>
            <w:r>
              <w:rPr>
                <w:sz w:val="18"/>
              </w:rPr>
              <w:t>El canal nunca decide por la persona: identificador inexistente o ambiguo produce repregunta con candidatas e identificadores, nunca una elección silenciosa; pedido vacío o fuera de catálogo se rechaza; una fila con identidad incompleta se omite; rol no habilitado queda rechazado y registrado</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La prosa del pedido no se persiste en claro: ni en el registro de atendidos, ni en el aviso, ni en el link de repregunta</w:t>
            </w:r>
          </w:p>
        </w:tc>
      </w:tr>
      <w:tr>
        <w:tc>
          <w:tcPr>
            <w:tcW w:type="dxa" w:w="2835"/>
          </w:tcPr>
          <w:p>
            <w:r>
              <w:rPr>
                <w:sz w:val="18"/>
              </w:rPr>
              <w:t>Fiabilidad · Robustez (25059)</w:t>
            </w:r>
          </w:p>
        </w:tc>
        <w:tc>
          <w:tcPr>
            <w:tcW w:type="dxa" w:w="2835"/>
          </w:tcPr>
          <w:p>
            <w:r>
              <w:rPr>
                <w:sz w:val="18"/>
              </w:rPr>
              <w:t>A</w:t>
            </w:r>
          </w:p>
        </w:tc>
        <w:tc>
          <w:tcPr>
            <w:tcW w:type="dxa" w:w="2835"/>
          </w:tcPr>
          <w:p>
            <w:r>
              <w:rPr>
                <w:sz w:val="18"/>
              </w:rPr>
              <w:t>La prosa externa es dato, nunca instrucción: un intento de inyección produce una intención válida o un rechazo y no llega al prompt del generador; un registro corrupto frena la lectura</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Interpretación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Pertinencia funcional</w:t>
            </w:r>
          </w:p>
        </w:tc>
        <w:tc>
          <w:tcPr>
            <w:tcW w:type="dxa" w:w="2835"/>
          </w:tcPr>
          <w:p>
            <w:r>
              <w:rPr>
                <w:sz w:val="18"/>
              </w:rPr>
              <w:t>A</w:t>
            </w:r>
          </w:p>
        </w:tc>
        <w:tc>
          <w:tcPr>
            <w:tcW w:type="dxa" w:w="2835"/>
          </w:tcPr>
          <w:p>
            <w:r>
              <w:rPr>
                <w:sz w:val="18"/>
              </w:rPr>
              <w:t>El catálogo declara exactamente las operaciones del alcance: generar_gacetilla (con el tipo de gacetilla como parámetro cerrado, #121), generar_post, generar_plantilla_actividad, emitir_certificados, ajustar_borrador y fuera_de_alcance; generar_newsletter y generar_mail salieron del catálogo: un newsletter es un tipo de gacetilla y un mail es el canal; cualquier otra solicitud termina INVALIDA o RECHAZADA</w:t>
            </w:r>
          </w:p>
        </w:tc>
      </w:tr>
      <w:tr>
        <w:tc>
          <w:tcPr>
            <w:tcW w:type="dxa" w:w="2835"/>
          </w:tcPr>
          <w:p>
            <w:r>
              <w:rPr>
                <w:sz w:val="18"/>
              </w:rPr>
              <w:t>Fiabilidad · Robustez (25059)</w:t>
            </w:r>
          </w:p>
        </w:tc>
        <w:tc>
          <w:tcPr>
            <w:tcW w:type="dxa" w:w="2835"/>
          </w:tcPr>
          <w:p>
            <w:r>
              <w:rPr>
                <w:sz w:val="18"/>
              </w:rPr>
              <w:t>A</w:t>
            </w:r>
          </w:p>
        </w:tc>
        <w:tc>
          <w:tcPr>
            <w:tcW w:type="dxa" w:w="2835"/>
          </w:tcPr>
          <w:p>
            <w:r>
              <w:rPr>
                <w:sz w:val="18"/>
              </w:rPr>
              <w:t>La salida del modelo en el fallback es un contrato acotado: una salida manipulada no puede producir una intención inexistente; la que no cumple el contrato se descarta; una falla del intérprete no propaga excepción</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El registro de interacciones conserva sólo el derivado estructurado; la interacción pendiente guarda lo que produjo el agente, nunca prosa del pedido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Generación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Completitud funcional</w:t>
            </w:r>
          </w:p>
        </w:tc>
        <w:tc>
          <w:tcPr>
            <w:tcW w:type="dxa" w:w="2835"/>
          </w:tcPr>
          <w:p>
            <w:r>
              <w:rPr>
                <w:sz w:val="18"/>
              </w:rPr>
              <w:t>A</w:t>
            </w:r>
          </w:p>
        </w:tc>
        <w:tc>
          <w:tcPr>
            <w:tcW w:type="dxa" w:w="2835"/>
          </w:tcPr>
          <w:p>
            <w:r>
              <w:rPr>
                <w:sz w:val="18"/>
              </w:rPr>
              <w:t>HU-010 a HU-014 implementadas dentro del alcance declarado: la gacetilla declara los siete tipos del corpus, dos que generan prosa con prompt propio (difusion_de_actividad con gacetilla_v8 y saludo_o_efemeride con su prompt) y cinco que extraen y confirman sin prosa del modelo (cronica_de_evento, aviso_de_otra_area, convocatoria_interna, fallecimiento y newsletter), con la forma declarada de cada tipo y un renderer único que escribe las partes institucionales; post (v2 y v3), plantilla de correo por actividad y certificado con línea descriptiva y circuito de lote; los insumos provisionales se declaran y no bajan el estado (#121)</w:t>
            </w:r>
          </w:p>
        </w:tc>
      </w:tr>
      <w:tr>
        <w:tc>
          <w:tcPr>
            <w:tcW w:type="dxa" w:w="2835"/>
          </w:tcPr>
          <w:p>
            <w:r>
              <w:rPr>
                <w:sz w:val="18"/>
              </w:rPr>
              <w:t>Adecuación funcional · Corrección del contenido generado (25059)</w:t>
            </w:r>
          </w:p>
        </w:tc>
        <w:tc>
          <w:tcPr>
            <w:tcW w:type="dxa" w:w="2835"/>
          </w:tcPr>
          <w:p>
            <w:r>
              <w:rPr>
                <w:sz w:val="18"/>
              </w:rPr>
              <w:t>A</w:t>
            </w:r>
          </w:p>
        </w:tc>
        <w:tc>
          <w:tcPr>
            <w:tcW w:type="dxa" w:w="2835"/>
          </w:tcPr>
          <w:p>
            <w:r>
              <w:rPr>
                <w:sz w:val="18"/>
              </w:rPr>
              <w:t>Nivel verificado de conformidad al gate con el modelo de la demo, gemma4:e4b en el servidor sin GPU (#51): gacetilla y posts 48/48, HU-012 y HU-014 18/18, canal 16/16 (criterio Q8: JSON válido con intención correcta). Re-verificado desde el contenedor el 23/10: HU-014 6/6, HU-012 4/4 y canal 8/8, y los posts de Instagram y LinkedIn generados en vivo y conformes. Las mediciones anteriores con llama3.2:3b (HU-011 en redacción libre 1/6) quedaron superadas. La calidad editorial la valida la SEU por la validación humana obligatoria (#56), que no forma parte de este atributo</w:t>
            </w:r>
          </w:p>
        </w:tc>
      </w:tr>
      <w:tr>
        <w:tc>
          <w:tcPr>
            <w:tcW w:type="dxa" w:w="2835"/>
          </w:tcPr>
          <w:p>
            <w:r>
              <w:rPr>
                <w:sz w:val="18"/>
              </w:rPr>
              <w:t>Fiabilidad · Robustez (25059)</w:t>
            </w:r>
          </w:p>
        </w:tc>
        <w:tc>
          <w:tcPr>
            <w:tcW w:type="dxa" w:w="2835"/>
          </w:tcPr>
          <w:p>
            <w:r>
              <w:rPr>
                <w:sz w:val="18"/>
              </w:rPr>
              <w:t>A</w:t>
            </w:r>
          </w:p>
        </w:tc>
        <w:tc>
          <w:tcPr>
            <w:tcW w:type="dxa" w:w="2835"/>
          </w:tcPr>
          <w:p>
            <w:r>
              <w:rPr>
                <w:sz w:val="18"/>
              </w:rPr>
              <w:t>El gate descarta la salida entera ante cualquier incumplimiento verificable: variable faltante, desconocida o renombrada, dígito, fecha, importe, correo o enlace escritos por el modelo, hecho copiado de la fuente, dato personal, eco de prompting, promesa prohibida, salida truncada o registro no rioplatense; en la gacetilla, el núcleo común del gate valida el largo, los marcadores sin resolver, el vocabulario de proceso y que cada hecho impreso por la forma esté en la pieza, con reglas propias por tipo (sin invitación afirmada en el aviso, nombre confirmado en el fallecimiento, área emisora confirmada) y los tipos que extraen se comparan contra lo confirmado sin intervención del fallback (#121)</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Gates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Integridad del gate (SLO del 100 %): ninguna pieza no conforme se presenta como conforme; cada regla tiene código y caso negativo; el catálogo de tipos de notificación es cerrado; un origen DESCONOCIDO bloquea el envío</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Nada habilita a ciegas: un tipo fuera del catálogo es INVALIDA, un origen no permitido bloquea el envío y una regla NO_MECANIZABLE no se aplica ni se declara cumplida</w:t>
            </w:r>
          </w:p>
        </w:tc>
      </w:tr>
      <w:tr>
        <w:tc>
          <w:tcPr>
            <w:tcW w:type="dxa" w:w="2835"/>
          </w:tcPr>
          <w:p>
            <w:r>
              <w:rPr>
                <w:sz w:val="18"/>
              </w:rPr>
              <w:t>Fiabilidad · Robustez (25059)</w:t>
            </w:r>
          </w:p>
        </w:tc>
        <w:tc>
          <w:tcPr>
            <w:tcW w:type="dxa" w:w="2835"/>
          </w:tcPr>
          <w:p>
            <w:r>
              <w:rPr>
                <w:sz w:val="18"/>
              </w:rPr>
              <w:t>A</w:t>
            </w:r>
          </w:p>
        </w:tc>
        <w:tc>
          <w:tcPr>
            <w:tcW w:type="dxa" w:w="2835"/>
          </w:tcPr>
          <w:p>
            <w:r>
              <w:rPr>
                <w:sz w:val="18"/>
              </w:rPr>
              <w:t>Una política con regla inválida o desconocida se rechaza al cargar; el estado NO_MECANIZABLE no puede marcarse como conforme</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Control de pagos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situación de pago se deriva de las fuentes en cada corrida, como función pura sin estado propio (ADR 0003); un comprobante presentado nunca cuenta como pago confirmado (D1/D9); una respuesta de baja no asociada se informa sin interpretar su contenido</w:t>
            </w:r>
          </w:p>
        </w:tc>
      </w:tr>
      <w:tr>
        <w:tc>
          <w:tcPr>
            <w:tcW w:type="dxa" w:w="2835"/>
          </w:tcPr>
          <w:p>
            <w:r>
              <w:rPr>
                <w:sz w:val="18"/>
              </w:rPr>
              <w:t>Fiabilidad · Tolerancia a fallos</w:t>
            </w:r>
          </w:p>
        </w:tc>
        <w:tc>
          <w:tcPr>
            <w:tcW w:type="dxa" w:w="2835"/>
          </w:tcPr>
          <w:p>
            <w:r>
              <w:rPr>
                <w:sz w:val="18"/>
              </w:rPr>
              <w:t>A</w:t>
            </w:r>
          </w:p>
        </w:tc>
        <w:tc>
          <w:tcPr>
            <w:tcW w:type="dxa" w:w="2835"/>
          </w:tcPr>
          <w:p>
            <w:r>
              <w:rPr>
                <w:sz w:val="18"/>
              </w:rPr>
              <w:t>Una fuente inválida (encabezado distinto, columna faltante, fila desalineada) se rechaza entera; un buzón inexistente termina con código controlado; los adjuntos se hashean en memoria</w:t>
            </w:r>
          </w:p>
        </w:tc>
      </w:tr>
      <w:tr>
        <w:tc>
          <w:tcPr>
            <w:tcW w:type="dxa" w:w="2835"/>
          </w:tcPr>
          <w:p>
            <w:r>
              <w:rPr>
                <w:sz w:val="18"/>
              </w:rPr>
              <w:t>Calidad de datos (25012) · Exactitud sintáctica</w:t>
            </w:r>
          </w:p>
        </w:tc>
        <w:tc>
          <w:tcPr>
            <w:tcW w:type="dxa" w:w="2835"/>
          </w:tcPr>
          <w:p>
            <w:r>
              <w:rPr>
                <w:sz w:val="18"/>
              </w:rPr>
              <w:t>A</w:t>
            </w:r>
          </w:p>
        </w:tc>
        <w:tc>
          <w:tcPr>
            <w:tcW w:type="dxa" w:w="2835"/>
          </w:tcPr>
          <w:p>
            <w:r>
              <w:rPr>
                <w:sz w:val="18"/>
              </w:rPr>
              <w:t>Contratos versionados con encabezado exacto (plan_pagos_actividad_v1, novedades_pago_v1, tipos_notificacion_v2, matriz_origenes_inscripcion_v1); la lista de cierre usa seis columnas posicionales con condicion de catálogo cerrado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Aprobación</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Controlabilidad (25059)</w:t>
            </w:r>
          </w:p>
        </w:tc>
        <w:tc>
          <w:tcPr>
            <w:tcW w:type="dxa" w:w="2835"/>
          </w:tcPr>
          <w:p>
            <w:r>
              <w:rPr>
                <w:sz w:val="18"/>
              </w:rPr>
              <w:t>A</w:t>
            </w:r>
          </w:p>
        </w:tc>
        <w:tc>
          <w:tcPr>
            <w:tcW w:type="dxa" w:w="2835"/>
          </w:tcPr>
          <w:p>
            <w:r>
              <w:rPr>
                <w:sz w:val="18"/>
              </w:rPr>
              <w:t>Doble aprobación obligatoria (semántica más utilitaria) por catálogo cerrado de tipo y decisión por rol; un objeto de decisión sólo vale si fue declarado pendiente; registrar una decisión no dispara ninguna acción</w:t>
            </w:r>
          </w:p>
        </w:tc>
      </w:tr>
      <w:tr>
        <w:tc>
          <w:tcPr>
            <w:tcW w:type="dxa" w:w="2835"/>
          </w:tcPr>
          <w:p>
            <w:r>
              <w:rPr>
                <w:sz w:val="18"/>
              </w:rPr>
              <w:t>Capacidad de interacción · Intervenibilidad (25059)</w:t>
            </w:r>
          </w:p>
        </w:tc>
        <w:tc>
          <w:tcPr>
            <w:tcW w:type="dxa" w:w="2835"/>
          </w:tcPr>
          <w:p>
            <w:r>
              <w:rPr>
                <w:sz w:val="18"/>
              </w:rPr>
              <w:t>A</w:t>
            </w:r>
          </w:p>
        </w:tc>
        <w:tc>
          <w:tcPr>
            <w:tcW w:type="dxa" w:w="2835"/>
          </w:tcPr>
          <w:p>
            <w:r>
              <w:rPr>
                <w:sz w:val="18"/>
              </w:rPr>
              <w:t>La persona puede aprobar, descartar o dejar pendiente; editar la lista de cierre o la plantilla cambia el sha256 del objeto y la aprobación previa deja de aplicar; manual_only ante una ejecución cortada exige decisión humana</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Las decisiones quedan en el append-only decisiones-procesadas.jsonl con identidad hasheada y fecha con zona horaria; el correo verificado no queda en claro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Cola y envío</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Fiabilidad · Tolerancia a fallos</w:t>
            </w:r>
          </w:p>
        </w:tc>
        <w:tc>
          <w:tcPr>
            <w:tcW w:type="dxa" w:w="2835"/>
          </w:tcPr>
          <w:p>
            <w:r>
              <w:rPr>
                <w:sz w:val="18"/>
              </w:rPr>
              <w:t>A</w:t>
            </w:r>
          </w:p>
        </w:tc>
        <w:tc>
          <w:tcPr>
            <w:tcW w:type="dxa" w:w="2835"/>
          </w:tcPr>
          <w:p>
            <w:r>
              <w:rPr>
                <w:sz w:val="18"/>
              </w:rPr>
              <w:t>Reserva intermedia con reconciliación: una reserva colgada pasa a ENVIO_INDETERMINADO sin reenviar; la idempotencia por clave absorbe re-corridas (DUPLICADA); un destinatario fuera de la lista de prueba se rechaza sin reintento</w:t>
            </w:r>
          </w:p>
        </w:tc>
      </w:tr>
      <w:tr>
        <w:tc>
          <w:tcPr>
            <w:tcW w:type="dxa" w:w="2835"/>
          </w:tcPr>
          <w:p>
            <w:r>
              <w:rPr>
                <w:sz w:val="18"/>
              </w:rPr>
              <w:t>Fiabilidad · Recuperabilidad</w:t>
            </w:r>
          </w:p>
        </w:tc>
        <w:tc>
          <w:tcPr>
            <w:tcW w:type="dxa" w:w="2835"/>
          </w:tcPr>
          <w:p>
            <w:r>
              <w:rPr>
                <w:sz w:val="18"/>
              </w:rPr>
              <w:t>B</w:t>
            </w:r>
          </w:p>
        </w:tc>
        <w:tc>
          <w:tcPr>
            <w:tcW w:type="dxa" w:w="2835"/>
          </w:tcPr>
          <w:p>
            <w:r>
              <w:rPr>
                <w:sz w:val="18"/>
              </w:rPr>
              <w:t>Idempotencia durable verificada: el registro archivo-por-clave sobrevive reinicio y una reserva colgada se reconcilia sin reenviar. Respaldo diario implementado (#86, ADR 0009) y probado desde el contenedor el 23/10 sobre el estado de un lote de HU-012: 13 archivos respaldados con manifiesto sha256 y restaurados idénticos, sin pisar lo existente. Desde el 23/10 el respaldo va a la carpeta privada de la cuenta técnica en Drive: un respaldo subido, bajado y restaurado idéntico, y desde el 26/10 el scheduler del contenedor lo sube solo una vez por día. La vuelta atrás de versión por la rama deploy también se probó. Observación: los SLO de RPO y RTO no tienen nivel medido (#88)</w:t>
            </w:r>
          </w:p>
        </w:tc>
      </w:tr>
      <w:tr>
        <w:tc>
          <w:tcPr>
            <w:tcW w:type="dxa" w:w="2835"/>
          </w:tcPr>
          <w:p>
            <w:r>
              <w:rPr>
                <w:sz w:val="18"/>
              </w:rPr>
              <w:t>Adecuación funcional · Corrección del sistema</w:t>
            </w:r>
          </w:p>
        </w:tc>
        <w:tc>
          <w:tcPr>
            <w:tcW w:type="dxa" w:w="2835"/>
          </w:tcPr>
          <w:p>
            <w:r>
              <w:rPr>
                <w:sz w:val="18"/>
              </w:rPr>
              <w:t>A</w:t>
            </w:r>
          </w:p>
        </w:tc>
        <w:tc>
          <w:tcPr>
            <w:tcW w:type="dxa" w:w="2835"/>
          </w:tcPr>
          <w:p>
            <w:r>
              <w:rPr>
                <w:sz w:val="18"/>
              </w:rPr>
              <w:t>La doble aprobación es requisito de la máquina de estados (DEF-A1-016): sin las dos decisiones no hay encolado; ENVIO_INDETERMINADO nunca reenvía sin cruzar con Enviados</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Persistencia y auditoría</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Capacidad de interacción · Transparencia (25059)</w:t>
            </w:r>
          </w:p>
        </w:tc>
        <w:tc>
          <w:tcPr>
            <w:tcW w:type="dxa" w:w="2835"/>
          </w:tcPr>
          <w:p>
            <w:r>
              <w:rPr>
                <w:sz w:val="18"/>
              </w:rPr>
              <w:t>A</w:t>
            </w:r>
          </w:p>
        </w:tc>
        <w:tc>
          <w:tcPr>
            <w:tcW w:type="dxa" w:w="2835"/>
          </w:tcPr>
          <w:p>
            <w:r>
              <w:rPr>
                <w:sz w:val="18"/>
              </w:rPr>
              <w:t>Manifest sanitizado por ejecución; auditorías y reportes exponen sólo códigos, conteos y hashes; la auditoría no copia destinatarios ni cuerpos</w:t>
            </w:r>
          </w:p>
        </w:tc>
      </w:tr>
      <w:tr>
        <w:tc>
          <w:tcPr>
            <w:tcW w:type="dxa" w:w="2835"/>
          </w:tcPr>
          <w:p>
            <w:r>
              <w:rPr>
                <w:sz w:val="18"/>
              </w:rPr>
              <w:t>Calidad de datos (25012) · Trazabilidad</w:t>
            </w:r>
          </w:p>
        </w:tc>
        <w:tc>
          <w:tcPr>
            <w:tcW w:type="dxa" w:w="2835"/>
          </w:tcPr>
          <w:p>
            <w:r>
              <w:rPr>
                <w:sz w:val="18"/>
              </w:rPr>
              <w:t>A</w:t>
            </w:r>
          </w:p>
        </w:tc>
        <w:tc>
          <w:tcPr>
            <w:tcW w:type="dxa" w:w="2835"/>
          </w:tcPr>
          <w:p>
            <w:r>
              <w:rPr>
                <w:sz w:val="18"/>
              </w:rPr>
              <w:t>Cada ejecución lleva correlation id; la lista de cierre y los objetos de decisión se anclan por sha256; el plan de pago declara procedencia por dato; los logs no guardan contenido ni correos en claro</w:t>
            </w:r>
          </w:p>
        </w:tc>
      </w:tr>
      <w:tr>
        <w:tc>
          <w:tcPr>
            <w:tcW w:type="dxa" w:w="2835"/>
          </w:tcPr>
          <w:p>
            <w:r>
              <w:rPr>
                <w:sz w:val="18"/>
              </w:rPr>
              <w:t>Fiabilidad · Tolerancia a fallos</w:t>
            </w:r>
          </w:p>
        </w:tc>
        <w:tc>
          <w:tcPr>
            <w:tcW w:type="dxa" w:w="2835"/>
          </w:tcPr>
          <w:p>
            <w:r>
              <w:rPr>
                <w:sz w:val="18"/>
              </w:rPr>
              <w:t>A</w:t>
            </w:r>
          </w:p>
        </w:tc>
        <w:tc>
          <w:tcPr>
            <w:tcW w:type="dxa" w:w="2835"/>
          </w:tcPr>
          <w:p>
            <w:r>
              <w:rPr>
                <w:sz w:val="18"/>
              </w:rPr>
              <w:t>Un registro corrupto se trata como ausente y no habilita entrega; un JSONL corrupto interrumpe la lectura en fail-closed; una clave que no es un hash no elige dónde se escribe</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Integraciones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Compatibilidad · Interoperabilidad</w:t>
            </w:r>
          </w:p>
        </w:tc>
        <w:tc>
          <w:tcPr>
            <w:tcW w:type="dxa" w:w="2835"/>
          </w:tcPr>
          <w:p>
            <w:r>
              <w:rPr>
                <w:sz w:val="18"/>
              </w:rPr>
              <w:t>A/B/C</w:t>
            </w:r>
          </w:p>
        </w:tc>
        <w:tc>
          <w:tcPr>
            <w:tcW w:type="dxa" w:w="2835"/>
          </w:tcPr>
          <w:p>
            <w:r>
              <w:rPr>
                <w:sz w:val="18"/>
              </w:rPr>
              <w:t>Workspace D2 verificado en vivo (parte A): el 28/09 con OAuth y, desde el 21/10, con la cuenta de servicio de DSI desde el servidor. El 23/10, desde el contenedor: smoke de lectura, gacetilla y posts de Instagram y LinkedIn con Doc real BORRADOR — NO PUBLICAR en la carpeta autorizada, sin tocar nada existente. Insumos de A3 por productor provisional declarado (parte B): el scheduler los toma de la pestaña «Insumos de agentes» de la planilla D2 y escribe el Doc borrador (probado en vivo el 23/10; el scheduler corre solo desde el 26/10). Seam de A2 offline sin transporte ni contrato cerrado, y A4/A5 con sólo contrato candidato (parte C, previstas)</w:t>
            </w:r>
          </w:p>
        </w:tc>
      </w:tr>
      <w:tr>
        <w:tc>
          <w:tcPr>
            <w:tcW w:type="dxa" w:w="2835"/>
          </w:tcPr>
          <w:p>
            <w:r>
              <w:rPr>
                <w:sz w:val="18"/>
              </w:rPr>
              <w:t>Fiabilidad · Robustez (25059)</w:t>
            </w:r>
          </w:p>
        </w:tc>
        <w:tc>
          <w:tcPr>
            <w:tcW w:type="dxa" w:w="2835"/>
          </w:tcPr>
          <w:p>
            <w:r>
              <w:rPr>
                <w:sz w:val="18"/>
              </w:rPr>
              <w:t>A</w:t>
            </w:r>
          </w:p>
        </w:tc>
        <w:tc>
          <w:tcPr>
            <w:tcW w:type="dxa" w:w="2835"/>
          </w:tcPr>
          <w:p>
            <w:r>
              <w:rPr>
                <w:sz w:val="18"/>
              </w:rPr>
              <w:t>Un token inválido o con inyección en encabezado se rechaza sin tocar la red; respuestas inválidas o sobredimensionadas se rechazan; los errores HTTP se mapean sin filtrar token ni cuerpo; los adjuntos se hashean en memoria</w:t>
            </w:r>
          </w:p>
        </w:tc>
      </w:tr>
      <w:tr>
        <w:tc>
          <w:tcPr>
            <w:tcW w:type="dxa" w:w="2835"/>
          </w:tcPr>
          <w:p>
            <w:r>
              <w:rPr>
                <w:sz w:val="18"/>
              </w:rPr>
              <w:t>Calidad de datos (25012) · Consistencia</w:t>
            </w:r>
          </w:p>
        </w:tc>
        <w:tc>
          <w:tcPr>
            <w:tcW w:type="dxa" w:w="2835"/>
          </w:tcPr>
          <w:p>
            <w:r>
              <w:rPr>
                <w:sz w:val="18"/>
              </w:rPr>
              <w:t>A</w:t>
            </w:r>
          </w:p>
        </w:tc>
        <w:tc>
          <w:tcPr>
            <w:tcW w:type="dxa" w:w="2835"/>
          </w:tcPr>
          <w:p>
            <w:r>
              <w:rPr>
                <w:sz w:val="18"/>
              </w:rPr>
              <w:t>La misma interpretación posicional en CSV y Sheets produce estructuras de dominio idénticas: plan, padrón y novedades coinciden entre las dos fuentes</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tbl>
      <w:tblPr>
        <w:tblStyle w:val="Tablaconcuadrcula"/>
        <w:tblW w:type="auto" w:w="0"/>
        <w:tblLayout w:type="fixed"/>
        <w:tblLook w:firstColumn="1" w:firstRow="1" w:lastColumn="0" w:lastRow="0" w:noHBand="0" w:noVBand="1" w:val="04A0"/>
      </w:tblPr>
      <w:tblGrid>
        <w:gridCol w:w="2835"/>
        <w:gridCol w:w="2835"/>
        <w:gridCol w:w="2835"/>
      </w:tblGrid>
      <w:tr>
        <w:tc>
          <w:tcPr>
            <w:tcW w:type="dxa" w:w="8505"/>
            <w:gridSpan w:val="3"/>
          </w:tcPr>
          <w:p>
            <w:r>
              <w:rPr>
                <w:sz w:val="18"/>
              </w:rPr>
              <w:t>Sistema (atributos transversales)</w:t>
            </w:r>
          </w:p>
        </w:tc>
      </w:tr>
      <w:tr>
        <w:tc>
          <w:tcPr>
            <w:tcW w:type="dxa" w:w="2835"/>
          </w:tcPr>
          <w:p>
            <w:r>
              <w:rPr>
                <w:sz w:val="18"/>
              </w:rPr>
              <w:t>Atributo</w:t>
            </w:r>
          </w:p>
        </w:tc>
        <w:tc>
          <w:tcPr>
            <w:tcW w:type="dxa" w:w="964"/>
          </w:tcPr>
          <w:p>
            <w:r>
              <w:rPr>
                <w:sz w:val="18"/>
              </w:rPr>
              <w:t>Estado</w:t>
            </w:r>
          </w:p>
        </w:tc>
        <w:tc>
          <w:tcPr>
            <w:tcW w:type="dxa" w:w="4706"/>
          </w:tcPr>
          <w:p>
            <w:r>
              <w:rPr>
                <w:sz w:val="18"/>
              </w:rPr>
              <w:t>Motivo</w:t>
            </w:r>
          </w:p>
        </w:tc>
      </w:tr>
      <w:tr>
        <w:tc>
          <w:tcPr>
            <w:tcW w:type="dxa" w:w="2835"/>
          </w:tcPr>
          <w:p>
            <w:r>
              <w:rPr>
                <w:sz w:val="18"/>
              </w:rPr>
              <w:t>Mantenibilidad · Modularidad</w:t>
            </w:r>
          </w:p>
        </w:tc>
        <w:tc>
          <w:tcPr>
            <w:tcW w:type="dxa" w:w="2835"/>
          </w:tcPr>
          <w:p>
            <w:r>
              <w:rPr>
                <w:sz w:val="18"/>
              </w:rPr>
              <w:t>A</w:t>
            </w:r>
          </w:p>
        </w:tc>
        <w:tc>
          <w:tcPr>
            <w:tcW w:type="dxa" w:w="2835"/>
          </w:tcPr>
          <w:p>
            <w:r>
              <w:rPr>
                <w:sz w:val="18"/>
              </w:rPr>
              <w:t>Puertos y adapters en cada frontera (canal, fuente, destino, buzón, generador, registro, decisiones); el seam de interpretación es independiente del transporte</w:t>
            </w:r>
          </w:p>
        </w:tc>
      </w:tr>
      <w:tr>
        <w:tc>
          <w:tcPr>
            <w:tcW w:type="dxa" w:w="2835"/>
          </w:tcPr>
          <w:p>
            <w:r>
              <w:rPr>
                <w:sz w:val="18"/>
              </w:rPr>
              <w:t>Mantenibilidad · Analizabilidad</w:t>
            </w:r>
          </w:p>
        </w:tc>
        <w:tc>
          <w:tcPr>
            <w:tcW w:type="dxa" w:w="2835"/>
          </w:tcPr>
          <w:p>
            <w:r>
              <w:rPr>
                <w:sz w:val="18"/>
              </w:rPr>
              <w:t>A</w:t>
            </w:r>
          </w:p>
        </w:tc>
        <w:tc>
          <w:tcPr>
            <w:tcW w:type="dxa" w:w="2835"/>
          </w:tcPr>
          <w:p>
            <w:r>
              <w:rPr>
                <w:sz w:val="18"/>
              </w:rPr>
              <w:t>Docstrings de decisión por módulo y la tabla de decisiones del README permiten localizar cada regla; el linter (ruff E/F/I/W) corre en el CI en cada cambio (#90)</w:t>
            </w:r>
          </w:p>
        </w:tc>
      </w:tr>
      <w:tr>
        <w:tc>
          <w:tcPr>
            <w:tcW w:type="dxa" w:w="2835"/>
          </w:tcPr>
          <w:p>
            <w:r>
              <w:rPr>
                <w:sz w:val="18"/>
              </w:rPr>
              <w:t>Flexibilidad · Instalabilidad</w:t>
            </w:r>
          </w:p>
        </w:tc>
        <w:tc>
          <w:tcPr>
            <w:tcW w:type="dxa" w:w="2835"/>
          </w:tcPr>
          <w:p>
            <w:r>
              <w:rPr>
                <w:sz w:val="18"/>
              </w:rPr>
              <w:t>A</w:t>
            </w:r>
          </w:p>
        </w:tc>
        <w:tc>
          <w:tcPr>
            <w:tcW w:type="dxa" w:w="2835"/>
          </w:tcPr>
          <w:p>
            <w:r>
              <w:rPr>
                <w:sz w:val="18"/>
              </w:rPr>
              <w:t>Se instala en el servidor como un stack de Portainer: el CI publica la imagen al cortar una versión y Portainer la despliega solo desde la rama deploy. Del 23/10 al 26/10 se desplegaron así seis versiones (0.5.0 a 0.5.5) y una vuelta atrás; la 0.5.5 se desplegó sola, con el scheduler corriendo, sin intervención en el servidor. La instalación por un tercero (el operador del traspaso, con su propio usuario de Portainer) está prevista para diciembre-febrero</w:t>
            </w:r>
          </w:p>
        </w:tc>
      </w:tr>
      <w:tr>
        <w:tc>
          <w:tcPr>
            <w:tcW w:type="dxa" w:w="2835"/>
          </w:tcPr>
          <w:p>
            <w:r>
              <w:rPr>
                <w:sz w:val="18"/>
              </w:rPr>
              <w:t>Seguridad · Factores de (ciber)seguridad del estrato</w:t>
            </w:r>
          </w:p>
        </w:tc>
        <w:tc>
          <w:tcPr>
            <w:tcW w:type="dxa" w:w="2835"/>
          </w:tcPr>
          <w:p>
            <w:r>
              <w:rPr>
                <w:sz w:val="18"/>
              </w:rPr>
              <w:t>Remite</w:t>
            </w:r>
          </w:p>
        </w:tc>
        <w:tc>
          <w:tcPr>
            <w:tcW w:type="dxa" w:w="2835"/>
          </w:tcPr>
          <w:p>
            <w:r>
              <w:rPr>
                <w:sz w:val="18"/>
              </w:rPr>
              <w:t>El perfil de seguridad de este estrato se declara en el Anexo 3 del laboratorio (perfil de seguridad del sistema de demostración, issues #58 y #108); este anexo lo remite y no lo reescribe.</w:t>
            </w:r>
          </w:p>
        </w:tc>
      </w:tr>
    </w:tbl>
    <w:p w14:paraId="1B322F81" w14:textId="77777777" w:rsidR="00905C5F" w:rsidRDefault="00905C5F" w:rsidP="00905C5F">
      <w:pPr>
        <w:pStyle w:val="Prrafodelista"/>
        <w:rPr>
          <w:sz w:val="24"/>
          <w:szCs w:val="24"/>
        </w:rPr>
      </w:pPr>
    </w:p>
    <w:p w14:paraId="7BEDC9E7" w14:textId="6C679F4C" w:rsidR="00905C5F" w:rsidRDefault="00905C5F" w:rsidP="00905C5F">
      <w:pPr>
        <w:pStyle w:val="Prrafodelista"/>
        <w:rPr>
          <w:sz w:val="24"/>
          <w:szCs w:val="24"/>
        </w:rPr>
      </w:pPr>
    </w:p>
    <w:p w14:paraId="5E571487" w14:textId="77777777" w:rsidR="00905C5F" w:rsidRPr="000144F7" w:rsidRDefault="00905C5F" w:rsidP="00905C5F">
      <w:pPr>
        <w:pStyle w:val="Prrafodelista"/>
        <w:rPr>
          <w:sz w:val="24"/>
          <w:szCs w:val="24"/>
        </w:rPr>
      </w:pPr>
    </w:p>
    <w:p w14:paraId="15754BB0" w14:textId="7648BFE1" w:rsidR="000144F7" w:rsidRPr="000144F7" w:rsidRDefault="00905C5F" w:rsidP="000144F7">
      <w:pPr>
        <w:pStyle w:val="Prrafodelista"/>
        <w:numPr>
          <w:ilvl w:val="0"/>
          <w:numId w:val="5"/>
        </w:numPr>
        <w:rPr>
          <w:sz w:val="24"/>
          <w:szCs w:val="24"/>
        </w:rPr>
      </w:pPr>
      <w:r>
        <w:rPr>
          <w:sz w:val="24"/>
          <w:szCs w:val="24"/>
        </w:rPr>
        <w:t>Lista de Control</w:t>
      </w:r>
      <w:r w:rsidR="000144F7" w:rsidRPr="000144F7">
        <w:rPr>
          <w:sz w:val="24"/>
          <w:szCs w:val="24"/>
        </w:rPr>
        <w:t xml:space="preserve"> </w:t>
      </w:r>
      <w:r>
        <w:rPr>
          <w:sz w:val="24"/>
          <w:szCs w:val="24"/>
        </w:rPr>
        <w:t xml:space="preserve">[Versión inicial </w:t>
      </w:r>
      <w:r w:rsidR="000144F7" w:rsidRPr="000144F7">
        <w:rPr>
          <w:sz w:val="24"/>
          <w:szCs w:val="24"/>
        </w:rPr>
        <w:t>prevista</w:t>
      </w:r>
      <w:r>
        <w:rPr>
          <w:sz w:val="24"/>
          <w:szCs w:val="24"/>
        </w:rPr>
        <w:t xml:space="preserve">; </w:t>
      </w:r>
      <w:r w:rsidR="000144F7" w:rsidRPr="000144F7">
        <w:rPr>
          <w:sz w:val="24"/>
          <w:szCs w:val="24"/>
        </w:rPr>
        <w:t xml:space="preserve">se podrán agregar los puntos a considerar que el laboratorio estime conveniente). </w:t>
      </w:r>
    </w:p>
    <w:p>
      <w:r>
        <w:t>• Correr la suite completa (uv run pytest -q) y ver las matrices reproducibles por historia de usuario (scripts/matriz_hu010.py, scripts/matriz_hu011_v2.py, scripts/matriz_hu012.py, scripts/matriz_hu014.py). Evidencia: tests/ y evidencias/ del Agente 1.</w:t>
      </w:r>
    </w:p>
    <w:p>
      <w:r>
        <w:t>• Recorrer el canal con un pedido ambiguo y ver la repregunta con candidatas sin persistir la prosa del pedido. Evidencia: src/agente1/canal_form.py, src/agente1/interpretacion.py; tests/test_canal_form.py, tests/test_interpretacion.py.</w:t>
      </w:r>
    </w:p>
    <w:p>
      <w:r>
        <w:t>• Verificar el gate de generación sobre los casos adversariales: variable fuera de catálogo, dígito, fecha, importe, correo, enlace o hecho escritos por el modelo, eco de prompting y salida truncada. Evidencia: src/agente1/procesamiento.py, src/agente1/politica_redes.py; tests/test_plantillas_actividad.py, tests/test_posts.py, tests/test_linea_descriptiva.py, tests/test_procesar_gacetilla.py.</w:t>
      </w:r>
    </w:p>
    <w:p>
      <w:r>
        <w:t>• Verificar la doble aprobación (semántica y utilitaria) y la aprobación de lote: sin las dos decisiones no hay encolado ni emisión, y editar la lista de cierre o la plantilla cambia el objeto y la aprobación previa deja de aplicar. Evidencia: src/agente1/confirmaciones.py, src/agente1/linea_descriptiva.py; tests/test_confirmaciones.py, tests/test_linea_descriptiva.py.</w:t>
      </w:r>
    </w:p>
    <w:p>
      <w:r>
        <w:t>• Verificar la idempotencia durable y la reconciliación: una reserva colgada pasa a envío indeterminado sin reenviar y una re-corrida termina duplicada. Evidencia: src/agente1/confirmaciones.py; tests/test_confirmaciones_durables.py; evidencias/recuperacion-hu012-idempotencia-durable-2026-09-08.md.</w:t>
      </w:r>
    </w:p>
    <w:p>
      <w:r>
        <w:t>• Verificar que la auditoría y los reportes exponen sólo códigos, conteos y hashes, sin destinatarios ni cuerpos. Evidencia: src/agente1/auditoria_d2.py, src/agente1/operaciones_seguras.py; tests/test_auditoria_seguridad_d2.py, tests/test_operaciones_seguras.py.</w:t>
      </w:r>
    </w:p>
    <w:p>
      <w:r>
        <w:t>• Verificar los límites de escritura: escribir es siempre crear nuevo y el envío por Gmail opera cercado por la lista de prueba, con rechazo antes de tocar token o red. Evidencia: src/agente1/destinos.py, src/agente1/gmail_envio.py; tests/test_destinos.py, tests/test_gmail_envio.py.</w:t>
      </w:r>
    </w:p>
    <w:p>
      <w:r>
        <w:t>• Verificar los insumos provisionales declarados: el sistema corre con ellos por el mecanismo productivo y ninguno queda como fake ni como capacidad detenida. Evidencia: el inventario de componentes del sistema de demostración (issue #67) y la columna Estado de los dos perfiles.</w:t>
      </w:r>
    </w:p>
    <w:p>
      <w:r>
        <w:t>• Contrastar los estados declarados por estrato en este anexo con la proyección del Anexo 2 y con la del Anexo 3, de las que salen los ítems que evalúa el laboratorio. Evidencia: Documentos/Laboratorio/Anexo2-Calidad-Proyeccion-v1.md, Documentos/Laboratorio/Anexo3-Seguridad-Proyeccion-v1.md.</w:t>
      </w:r>
    </w:p>
    <w:p w14:paraId="52BD2184" w14:textId="080D9DF7" w:rsidR="000144F7" w:rsidRDefault="000144F7" w:rsidP="000144F7">
      <w:pPr>
        <w:ind w:left="1080"/>
        <w:rPr>
          <w:sz w:val="24"/>
          <w:szCs w:val="24"/>
        </w:rPr>
      </w:pPr>
    </w:p>
    <w:p w14:paraId="0D71BA84" w14:textId="5F0D0CC1" w:rsidR="00CC7153" w:rsidRDefault="00CC7153" w:rsidP="000144F7">
      <w:pPr>
        <w:ind w:left="1080"/>
        <w:rPr>
          <w:sz w:val="24"/>
          <w:szCs w:val="24"/>
        </w:rPr>
      </w:pPr>
    </w:p>
    <w:p w14:paraId="12AF27CD" w14:textId="64969539" w:rsidR="00CC7153" w:rsidRDefault="00CC7153" w:rsidP="000144F7">
      <w:pPr>
        <w:ind w:left="1080"/>
        <w:rPr>
          <w:sz w:val="24"/>
          <w:szCs w:val="24"/>
        </w:rPr>
      </w:pPr>
    </w:p>
    <w:sectPr w:rsidR="00CC7153">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D5D98" w14:textId="77777777" w:rsidR="00E02ED1" w:rsidRDefault="00E02ED1" w:rsidP="004E21F1">
      <w:pPr>
        <w:spacing w:after="0" w:line="240" w:lineRule="auto"/>
      </w:pPr>
      <w:r>
        <w:separator/>
      </w:r>
    </w:p>
  </w:endnote>
  <w:endnote w:type="continuationSeparator" w:id="0">
    <w:p w14:paraId="411A0B5D" w14:textId="77777777" w:rsidR="00E02ED1" w:rsidRDefault="00E02ED1" w:rsidP="004E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09A2" w14:textId="77777777" w:rsidR="0090444B" w:rsidRDefault="009044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A17A" w14:textId="77777777" w:rsidR="0090444B" w:rsidRDefault="009044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C67B" w14:textId="77777777" w:rsidR="0090444B" w:rsidRDefault="009044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CE386" w14:textId="77777777" w:rsidR="00E02ED1" w:rsidRDefault="00E02ED1" w:rsidP="004E21F1">
      <w:pPr>
        <w:spacing w:after="0" w:line="240" w:lineRule="auto"/>
      </w:pPr>
      <w:r>
        <w:separator/>
      </w:r>
    </w:p>
  </w:footnote>
  <w:footnote w:type="continuationSeparator" w:id="0">
    <w:p w14:paraId="598C87CE" w14:textId="77777777" w:rsidR="00E02ED1" w:rsidRDefault="00E02ED1" w:rsidP="004E2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8D9C" w14:textId="77777777" w:rsidR="0090444B" w:rsidRDefault="009044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3C40" w14:textId="6C579990" w:rsidR="004E21F1" w:rsidRPr="004E21F1" w:rsidRDefault="004E21F1">
    <w:pPr>
      <w:pStyle w:val="Encabezado"/>
      <w:rPr>
        <w:rFonts w:ascii="Lucida Bright" w:hAnsi="Lucida Bright"/>
        <w:i/>
        <w:iCs/>
      </w:rPr>
    </w:pPr>
    <w:r w:rsidRPr="004E21F1">
      <w:rPr>
        <w:rFonts w:ascii="Lucida Bright" w:hAnsi="Lucida Bright"/>
        <w:i/>
        <w:iCs/>
      </w:rPr>
      <w:t>FIE - UNDEF</w:t>
    </w:r>
    <w:r w:rsidRPr="004E21F1">
      <w:rPr>
        <w:rFonts w:ascii="Lucida Bright" w:hAnsi="Lucida Bright"/>
        <w:i/>
        <w:iCs/>
      </w:rPr>
      <w:ptab w:relativeTo="margin" w:alignment="center" w:leader="none"/>
    </w:r>
    <w:r w:rsidRPr="004E21F1">
      <w:rPr>
        <w:rFonts w:ascii="Lucida Bright" w:hAnsi="Lucida Bright"/>
        <w:i/>
        <w:iCs/>
      </w:rPr>
      <w:t>Proyecto de Promoción y Síntesis</w:t>
    </w:r>
    <w:r w:rsidRPr="004E21F1">
      <w:rPr>
        <w:rFonts w:ascii="Lucida Bright" w:hAnsi="Lucida Bright"/>
        <w:i/>
        <w:iCs/>
      </w:rPr>
      <w:ptab w:relativeTo="margin" w:alignment="right" w:leader="none"/>
    </w:r>
    <w:r w:rsidR="0090444B">
      <w:rPr>
        <w:rFonts w:ascii="Lucida Bright" w:hAnsi="Lucida Bright"/>
        <w:i/>
        <w:iCs/>
      </w:rPr>
      <w:t>Ciclo Lectivo 2026</w:t>
    </w:r>
    <w:r w:rsidR="0082561D">
      <w:rPr>
        <w:rFonts w:ascii="Lucida Bright" w:hAnsi="Lucida Bright"/>
        <w:i/>
        <w:iCs/>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C7FF" w14:textId="77777777" w:rsidR="0090444B" w:rsidRDefault="009044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73E5B"/>
    <w:multiLevelType w:val="hybridMultilevel"/>
    <w:tmpl w:val="DF5C4D26"/>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F755039"/>
    <w:multiLevelType w:val="hybridMultilevel"/>
    <w:tmpl w:val="BEEE3AA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785478E"/>
    <w:multiLevelType w:val="hybridMultilevel"/>
    <w:tmpl w:val="864A34D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966600E"/>
    <w:multiLevelType w:val="hybridMultilevel"/>
    <w:tmpl w:val="895C1D1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 w15:restartNumberingAfterBreak="0">
    <w:nsid w:val="7A6B2062"/>
    <w:multiLevelType w:val="hybridMultilevel"/>
    <w:tmpl w:val="3E628C5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7478232">
    <w:abstractNumId w:val="3"/>
  </w:num>
  <w:num w:numId="2" w16cid:durableId="428163143">
    <w:abstractNumId w:val="1"/>
  </w:num>
  <w:num w:numId="3" w16cid:durableId="1661230497">
    <w:abstractNumId w:val="2"/>
  </w:num>
  <w:num w:numId="4" w16cid:durableId="43480769">
    <w:abstractNumId w:val="0"/>
  </w:num>
  <w:num w:numId="5" w16cid:durableId="1752845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F1"/>
    <w:rsid w:val="000144F7"/>
    <w:rsid w:val="000C247C"/>
    <w:rsid w:val="0022151E"/>
    <w:rsid w:val="003C1AAC"/>
    <w:rsid w:val="00400CFE"/>
    <w:rsid w:val="00482558"/>
    <w:rsid w:val="004E21F1"/>
    <w:rsid w:val="00682FC5"/>
    <w:rsid w:val="0070394A"/>
    <w:rsid w:val="0082561D"/>
    <w:rsid w:val="00832944"/>
    <w:rsid w:val="0090444B"/>
    <w:rsid w:val="00905C5F"/>
    <w:rsid w:val="00944AEA"/>
    <w:rsid w:val="00A17BDF"/>
    <w:rsid w:val="00A22C08"/>
    <w:rsid w:val="00A72A9C"/>
    <w:rsid w:val="00B9638A"/>
    <w:rsid w:val="00CC7153"/>
    <w:rsid w:val="00CF2529"/>
    <w:rsid w:val="00D8748C"/>
    <w:rsid w:val="00DC3162"/>
    <w:rsid w:val="00DE7C49"/>
    <w:rsid w:val="00E02ED1"/>
    <w:rsid w:val="00E1173B"/>
    <w:rsid w:val="00F678BE"/>
    <w:rsid w:val="00F7475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87A6"/>
  <w15:chartTrackingRefBased/>
  <w15:docId w15:val="{271DADC9-E92B-46B2-827E-BA33895E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21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21F1"/>
  </w:style>
  <w:style w:type="paragraph" w:styleId="Piedepgina">
    <w:name w:val="footer"/>
    <w:basedOn w:val="Normal"/>
    <w:link w:val="PiedepginaCar"/>
    <w:uiPriority w:val="99"/>
    <w:unhideWhenUsed/>
    <w:rsid w:val="004E21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21F1"/>
  </w:style>
  <w:style w:type="paragraph" w:styleId="Prrafodelista">
    <w:name w:val="List Paragraph"/>
    <w:basedOn w:val="Normal"/>
    <w:uiPriority w:val="34"/>
    <w:qFormat/>
    <w:rsid w:val="000144F7"/>
    <w:pPr>
      <w:ind w:left="720"/>
      <w:contextualSpacing/>
      <w:jc w:val="both"/>
    </w:pPr>
  </w:style>
  <w:style w:type="table" w:styleId="Tablaconcuadrcula">
    <w:name w:val="Table Grid"/>
    <w:basedOn w:val="Tablanormal"/>
    <w:uiPriority w:val="39"/>
    <w:rsid w:val="00905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557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Quiroga</dc:creator>
  <cp:keywords/>
  <dc:description/>
  <cp:lastModifiedBy>elvira quiroga</cp:lastModifiedBy>
  <cp:revision>4</cp:revision>
  <dcterms:created xsi:type="dcterms:W3CDTF">2024-09-24T14:28:00Z</dcterms:created>
  <dcterms:modified xsi:type="dcterms:W3CDTF">2025-05-06T15:52:00Z</dcterms:modified>
</cp:coreProperties>
</file>