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Reporte de Evaluación</w:t>
      </w:r>
    </w:p>
    <w:p>
      <w:pPr>
        <w:pStyle w:val="Normal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CyberGuard </w:t>
      </w:r>
    </w:p>
    <w:p>
      <w:pPr>
        <w:pStyle w:val="Normal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u w:val="single"/>
        </w:rPr>
        <w:t>Plataforma de Concientización en Ciberseguridad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anchor behindDoc="0" distT="19050" distB="19050" distL="0" distR="20955" simplePos="0" locked="0" layoutInCell="1" allowOverlap="1" relativeHeight="2" wp14:anchorId="38F53B45">
                <wp:simplePos x="0" y="0"/>
                <wp:positionH relativeFrom="column">
                  <wp:posOffset>6985</wp:posOffset>
                </wp:positionH>
                <wp:positionV relativeFrom="paragraph">
                  <wp:posOffset>6985</wp:posOffset>
                </wp:positionV>
                <wp:extent cx="5579745" cy="0"/>
                <wp:effectExtent l="635" t="19685" r="635" b="19685"/>
                <wp:wrapNone/>
                <wp:docPr id="1" name="Conector rec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57964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44546a">
                              <a:lumMod val="5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55pt,0.55pt" to="439.85pt,0.55pt" ID="Conector recto 2" stroked="t" o:allowincell="f" style="position:absolute;flip:y" wp14:anchorId="38F53B45">
                <v:stroke color="#222a35" weight="381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Fecha de Evaluación: </w:t>
      </w:r>
      <w:r>
        <w:rPr>
          <w:sz w:val="24"/>
          <w:szCs w:val="24"/>
        </w:rPr>
        <w:t>17/11/2025</w:t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Laboratorio: Laboratorio de </w:t>
      </w:r>
      <w:r>
        <w:rPr>
          <w:sz w:val="24"/>
          <w:szCs w:val="24"/>
        </w:rPr>
        <w:t xml:space="preserve">Informática, </w:t>
      </w:r>
      <w:r>
        <w:rPr>
          <w:sz w:val="24"/>
          <w:szCs w:val="24"/>
        </w:rPr>
        <w:t xml:space="preserve">Software </w:t>
      </w:r>
      <w:r>
        <w:rPr>
          <w:sz w:val="24"/>
          <w:szCs w:val="24"/>
        </w:rPr>
        <w:t>seguro y Criptografía</w:t>
      </w:r>
      <w:r>
        <w:rPr>
          <w:sz w:val="24"/>
          <w:szCs w:val="24"/>
        </w:rPr>
        <w:t xml:space="preserve"> de la Facultad de Ingeniería del Ejército</w:t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Equipo de Evaluación: </w:t>
      </w:r>
      <w:r>
        <w:rPr>
          <w:sz w:val="24"/>
          <w:szCs w:val="24"/>
        </w:rPr>
        <w:t xml:space="preserve">Lic. </w:t>
      </w:r>
      <w:r>
        <w:rPr>
          <w:sz w:val="24"/>
          <w:szCs w:val="24"/>
        </w:rPr>
        <w:t>Ariel Maiorano</w:t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Alumno: </w:t>
      </w:r>
      <w:r>
        <w:rPr>
          <w:sz w:val="24"/>
          <w:szCs w:val="24"/>
        </w:rPr>
        <w:t>[alumno]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u w:val="single"/>
        </w:rPr>
      </w:pPr>
      <w:r>
        <w:rPr>
          <w:b/>
          <w:u w:val="single"/>
        </w:rPr>
        <w:t>Factores de calidad considerados: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Tablaconcuadrcula"/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92"/>
        <w:gridCol w:w="1773"/>
        <w:gridCol w:w="1890"/>
        <w:gridCol w:w="1685"/>
        <w:gridCol w:w="2204"/>
      </w:tblGrid>
      <w:tr>
        <w:trPr>
          <w:trHeight w:val="596" w:hRule="atLeast"/>
        </w:trPr>
        <w:tc>
          <w:tcPr>
            <w:tcW w:w="9344" w:type="dxa"/>
            <w:gridSpan w:val="5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mallCaps/>
                <w:sz w:val="24"/>
                <w:szCs w:val="24"/>
              </w:rPr>
            </w:pPr>
            <w:r>
              <w:rPr>
                <w:rFonts w:eastAsia="Calibri" w:cs=""/>
                <w:b/>
                <w:smallCaps/>
                <w:kern w:val="0"/>
                <w:sz w:val="22"/>
                <w:szCs w:val="22"/>
                <w:u w:val="single"/>
                <w:lang w:val="es-AR" w:eastAsia="en-US" w:bidi="ar-SA"/>
              </w:rPr>
              <w:t xml:space="preserve">Factores de Calidad </w:t>
            </w:r>
            <w:r>
              <w:rPr>
                <w:rFonts w:eastAsia="Calibri" w:cs=""/>
                <w:kern w:val="0"/>
                <w:sz w:val="22"/>
                <w:szCs w:val="22"/>
                <w:u w:val="single"/>
                <w:lang w:val="es-AR" w:eastAsia="en-US" w:bidi="ar-SA"/>
              </w:rPr>
              <w:t>ISO/IEC 25010</w:t>
            </w:r>
            <w:bookmarkStart w:id="0" w:name="_Hlk197429125"/>
            <w:bookmarkEnd w:id="0"/>
          </w:p>
        </w:tc>
      </w:tr>
      <w:tr>
        <w:trPr>
          <w:trHeight w:val="596" w:hRule="atLeast"/>
        </w:trPr>
        <w:tc>
          <w:tcPr>
            <w:tcW w:w="1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Factor de calidad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(ISO/IEC 25010)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Atributo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AR" w:eastAsia="en-US" w:bidi="ar-SA"/>
              </w:rPr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Nivel de Competencia</w:t>
            </w:r>
          </w:p>
        </w:tc>
        <w:tc>
          <w:tcPr>
            <w:tcW w:w="16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Nivel de Competencia Global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AR" w:eastAsia="en-US" w:bidi="ar-SA"/>
              </w:rPr>
              <w:t>Comentarios</w:t>
            </w:r>
          </w:p>
        </w:tc>
      </w:tr>
      <w:tr>
        <w:trPr/>
        <w:tc>
          <w:tcPr>
            <w:tcW w:w="1792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Adecuación funcional</w:t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Completitud funcional</w:t>
            </w:r>
          </w:p>
        </w:tc>
        <w:tc>
          <w:tcPr>
            <w:tcW w:w="1890" w:type="dxa"/>
            <w:tcBorders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  <w:t>Muy satisfactorio</w:t>
            </w:r>
          </w:p>
        </w:tc>
        <w:tc>
          <w:tcPr>
            <w:tcW w:w="1685" w:type="dxa"/>
            <w:vMerge w:val="restart"/>
            <w:tcBorders/>
            <w:vAlign w:val="center"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  <w:t>Muy satisfactorio</w:t>
            </w:r>
          </w:p>
        </w:tc>
        <w:tc>
          <w:tcPr>
            <w:tcW w:w="22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AR" w:eastAsia="en-US" w:bidi="ar-SA"/>
              </w:rPr>
              <w:t>Adeacueda selección de tecnologías (framework o marco de desarrollo, herramientas de frontend, bbdd).</w:t>
            </w:r>
          </w:p>
        </w:tc>
      </w:tr>
      <w:tr>
        <w:trPr/>
        <w:tc>
          <w:tcPr>
            <w:tcW w:w="1792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AR" w:eastAsia="en-U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Corrección funcional</w:t>
            </w:r>
          </w:p>
        </w:tc>
        <w:tc>
          <w:tcPr>
            <w:tcW w:w="1890" w:type="dxa"/>
            <w:tcBorders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  <w:t>Muy satisfactorio</w:t>
            </w:r>
          </w:p>
        </w:tc>
        <w:tc>
          <w:tcPr>
            <w:tcW w:w="168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AR" w:eastAsia="en-US" w:bidi="ar-SA"/>
              </w:rPr>
            </w:r>
          </w:p>
        </w:tc>
        <w:tc>
          <w:tcPr>
            <w:tcW w:w="22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AR" w:eastAsia="en-US" w:bidi="ar-SA"/>
              </w:rPr>
            </w:r>
          </w:p>
        </w:tc>
      </w:tr>
      <w:tr>
        <w:trPr/>
        <w:tc>
          <w:tcPr>
            <w:tcW w:w="1792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Eficiencia de desempeño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Comportamiento temporal</w:t>
            </w:r>
          </w:p>
        </w:tc>
        <w:tc>
          <w:tcPr>
            <w:tcW w:w="1890" w:type="dxa"/>
            <w:tcBorders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  <w:t>Muy satisfactorio</w:t>
            </w:r>
          </w:p>
        </w:tc>
        <w:tc>
          <w:tcPr>
            <w:tcW w:w="1685" w:type="dxa"/>
            <w:vMerge w:val="restart"/>
            <w:tcBorders/>
            <w:vAlign w:val="center"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  <w:t>Muy satisfactorio</w:t>
            </w:r>
          </w:p>
        </w:tc>
        <w:tc>
          <w:tcPr>
            <w:tcW w:w="22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AR" w:eastAsia="en-US" w:bidi="ar-SA"/>
              </w:rPr>
            </w:r>
          </w:p>
        </w:tc>
      </w:tr>
      <w:tr>
        <w:trPr/>
        <w:tc>
          <w:tcPr>
            <w:tcW w:w="1792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AR" w:eastAsia="en-US" w:bidi="ar-SA"/>
              </w:rPr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i/>
                <w:i/>
                <w:iCs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Utilización de recursos</w:t>
            </w:r>
          </w:p>
        </w:tc>
        <w:tc>
          <w:tcPr>
            <w:tcW w:w="1890" w:type="dxa"/>
            <w:tcBorders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  <w:t>S</w:t>
            </w:r>
            <w:r>
              <w:rPr/>
              <w:t>atisfactorio</w:t>
            </w:r>
          </w:p>
        </w:tc>
        <w:tc>
          <w:tcPr>
            <w:tcW w:w="168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AR" w:eastAsia="en-US" w:bidi="ar-SA"/>
              </w:rPr>
            </w:r>
          </w:p>
        </w:tc>
        <w:tc>
          <w:tcPr>
            <w:tcW w:w="22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AR" w:eastAsia="en-US" w:bidi="ar-SA"/>
              </w:rPr>
            </w:r>
          </w:p>
        </w:tc>
      </w:tr>
      <w:tr>
        <w:trPr/>
        <w:tc>
          <w:tcPr>
            <w:tcW w:w="1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Compatibilidad</w:t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Interoperabilidad</w:t>
            </w:r>
          </w:p>
        </w:tc>
        <w:tc>
          <w:tcPr>
            <w:tcW w:w="1890" w:type="dxa"/>
            <w:tcBorders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  <w:t>Muy satisfactorio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  <w:t>Muy satisfactorio</w:t>
            </w:r>
          </w:p>
        </w:tc>
        <w:tc>
          <w:tcPr>
            <w:tcW w:w="22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AR" w:eastAsia="en-US" w:bidi="ar-SA"/>
              </w:rPr>
            </w:r>
          </w:p>
        </w:tc>
      </w:tr>
      <w:tr>
        <w:trPr>
          <w:trHeight w:val="537" w:hRule="atLeast"/>
        </w:trPr>
        <w:tc>
          <w:tcPr>
            <w:tcW w:w="1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Usabilidad</w:t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Aprendizaje y operabilidad</w:t>
            </w:r>
          </w:p>
        </w:tc>
        <w:tc>
          <w:tcPr>
            <w:tcW w:w="1890" w:type="dxa"/>
            <w:tcBorders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  <w:t>S</w:t>
            </w:r>
            <w:r>
              <w:rPr/>
              <w:t>atisfactorio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  <w:t>S</w:t>
            </w:r>
            <w:r>
              <w:rPr/>
              <w:t>atisfactorio</w:t>
            </w:r>
          </w:p>
        </w:tc>
        <w:tc>
          <w:tcPr>
            <w:tcW w:w="22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AR" w:eastAsia="en-US" w:bidi="ar-SA"/>
              </w:rPr>
            </w:r>
          </w:p>
        </w:tc>
      </w:tr>
      <w:tr>
        <w:trPr/>
        <w:tc>
          <w:tcPr>
            <w:tcW w:w="1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Fiabilidad</w:t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Madurez</w:t>
            </w:r>
          </w:p>
        </w:tc>
        <w:tc>
          <w:tcPr>
            <w:tcW w:w="1890" w:type="dxa"/>
            <w:tcBorders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  <w:t>S</w:t>
            </w:r>
            <w:r>
              <w:rPr/>
              <w:t>atisfactorio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  <w:t>S</w:t>
            </w:r>
            <w:r>
              <w:rPr/>
              <w:t>atisfactorio</w:t>
            </w:r>
          </w:p>
        </w:tc>
        <w:tc>
          <w:tcPr>
            <w:tcW w:w="22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AR" w:eastAsia="en-US" w:bidi="ar-SA"/>
              </w:rPr>
            </w:r>
          </w:p>
        </w:tc>
      </w:tr>
      <w:tr>
        <w:trPr/>
        <w:tc>
          <w:tcPr>
            <w:tcW w:w="1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Seguridad</w:t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Confidencialidad</w:t>
            </w:r>
          </w:p>
        </w:tc>
        <w:tc>
          <w:tcPr>
            <w:tcW w:w="1890" w:type="dxa"/>
            <w:tcBorders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  <w:t>Muy satisfactorio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  <w:t>Muy satisfactorio</w:t>
            </w:r>
          </w:p>
        </w:tc>
        <w:tc>
          <w:tcPr>
            <w:tcW w:w="22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AR" w:eastAsia="en-US" w:bidi="ar-SA"/>
              </w:rPr>
              <w:t>Detallado en anexo #3; correcto.</w:t>
            </w:r>
          </w:p>
        </w:tc>
      </w:tr>
      <w:tr>
        <w:trPr/>
        <w:tc>
          <w:tcPr>
            <w:tcW w:w="1792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Mantenibilidad</w:t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Modularidad</w:t>
            </w:r>
          </w:p>
        </w:tc>
        <w:tc>
          <w:tcPr>
            <w:tcW w:w="1890" w:type="dxa"/>
            <w:tcBorders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  <w:t>Muy satisfactorio</w:t>
            </w:r>
          </w:p>
        </w:tc>
        <w:tc>
          <w:tcPr>
            <w:tcW w:w="1685" w:type="dxa"/>
            <w:vMerge w:val="restart"/>
            <w:tcBorders/>
            <w:vAlign w:val="center"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  <w:t>Muy satisfactorio</w:t>
            </w:r>
          </w:p>
        </w:tc>
        <w:tc>
          <w:tcPr>
            <w:tcW w:w="22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AR" w:eastAsia="en-US" w:bidi="ar-SA"/>
              </w:rPr>
            </w:r>
          </w:p>
        </w:tc>
      </w:tr>
      <w:tr>
        <w:trPr/>
        <w:tc>
          <w:tcPr>
            <w:tcW w:w="1792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Analizabilidad</w:t>
            </w:r>
          </w:p>
        </w:tc>
        <w:tc>
          <w:tcPr>
            <w:tcW w:w="1890" w:type="dxa"/>
            <w:tcBorders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  <w:t>Muy satisfactorio</w:t>
            </w:r>
          </w:p>
        </w:tc>
        <w:tc>
          <w:tcPr>
            <w:tcW w:w="168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AR" w:eastAsia="en-US" w:bidi="ar-SA"/>
              </w:rPr>
            </w:r>
          </w:p>
        </w:tc>
        <w:tc>
          <w:tcPr>
            <w:tcW w:w="22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AR" w:eastAsia="en-US" w:bidi="ar-SA"/>
              </w:rPr>
            </w:r>
          </w:p>
        </w:tc>
      </w:tr>
      <w:tr>
        <w:trPr/>
        <w:tc>
          <w:tcPr>
            <w:tcW w:w="1792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Portabilidad</w:t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  <w:t>Adaptabilidad</w:t>
            </w:r>
          </w:p>
        </w:tc>
        <w:tc>
          <w:tcPr>
            <w:tcW w:w="1890" w:type="dxa"/>
            <w:tcBorders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  <w:t>Muy satisfactorio</w:t>
            </w:r>
          </w:p>
        </w:tc>
        <w:tc>
          <w:tcPr>
            <w:tcW w:w="1685" w:type="dxa"/>
            <w:vMerge w:val="restart"/>
            <w:tcBorders/>
            <w:vAlign w:val="center"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  <w:t>Muy satisfactorio</w:t>
            </w:r>
          </w:p>
        </w:tc>
        <w:tc>
          <w:tcPr>
            <w:tcW w:w="22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AR" w:eastAsia="en-US" w:bidi="ar-SA"/>
              </w:rPr>
            </w:r>
          </w:p>
        </w:tc>
      </w:tr>
      <w:tr>
        <w:trPr/>
        <w:tc>
          <w:tcPr>
            <w:tcW w:w="1792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1890" w:type="dxa"/>
            <w:tcBorders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  <w:t>Muy satisfactorio</w:t>
            </w:r>
          </w:p>
        </w:tc>
        <w:tc>
          <w:tcPr>
            <w:tcW w:w="168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AR" w:eastAsia="en-US" w:bidi="ar-SA"/>
              </w:rPr>
            </w:r>
          </w:p>
        </w:tc>
        <w:tc>
          <w:tcPr>
            <w:tcW w:w="22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AR" w:eastAsia="en-US" w:bidi="ar-SA"/>
              </w:rPr>
            </w:r>
          </w:p>
        </w:tc>
      </w:tr>
    </w:tbl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Referencias: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El Equipo de Proyecto completará esta tabla consignando los factores y atributos de calidad que se establecieron para el proyecto, en el orden que establece el estándar para facilitar la evaluación.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auto"/>
        <w:spacing w:lineRule="auto" w:line="259" w:before="0" w:after="160"/>
        <w:ind w:hanging="0"/>
        <w:jc w:val="left"/>
        <w:rPr>
          <w:color w:val="000000"/>
        </w:rPr>
      </w:pPr>
      <w:r>
        <w:rPr>
          <w:color w:val="000000"/>
        </w:rPr>
      </w:r>
    </w:p>
    <w:tbl>
      <w:tblPr>
        <w:tblStyle w:val="afff3"/>
        <w:tblW w:w="93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605"/>
        <w:gridCol w:w="5175"/>
        <w:gridCol w:w="2595"/>
      </w:tblGrid>
      <w:tr>
        <w:trPr/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auto"/>
              <w:spacing w:before="0" w:after="200"/>
              <w:ind w:hanging="0"/>
              <w:jc w:val="center"/>
              <w:rPr>
                <w:color w:val="44546A"/>
              </w:rPr>
            </w:pPr>
            <w:r>
              <w:rPr>
                <w:color w:val="44546A"/>
              </w:rPr>
              <w:t>Fecha</w:t>
            </w:r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auto"/>
              <w:spacing w:before="0" w:after="200"/>
              <w:ind w:hanging="0"/>
              <w:jc w:val="left"/>
              <w:rPr>
                <w:color w:val="44546A"/>
              </w:rPr>
            </w:pPr>
            <w:r>
              <w:rPr>
                <w:color w:val="44546A"/>
              </w:rPr>
              <w:t>Responsable(s)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auto"/>
              <w:spacing w:before="0" w:after="200"/>
              <w:ind w:hanging="0"/>
              <w:jc w:val="left"/>
              <w:rPr>
                <w:color w:val="44546A"/>
              </w:rPr>
            </w:pPr>
            <w:r>
              <w:rPr>
                <w:color w:val="44546A"/>
              </w:rPr>
              <w:t>Firma(s)</w:t>
            </w:r>
          </w:p>
        </w:tc>
      </w:tr>
      <w:tr>
        <w:trPr/>
        <w:tc>
          <w:tcPr>
            <w:tcW w:w="16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color="auto" w:fill="auto"/>
              <w:spacing w:before="0" w:after="200"/>
              <w:ind w:hanging="720" w:left="720"/>
              <w:jc w:val="left"/>
              <w:rPr>
                <w:color w:val="44546A"/>
              </w:rPr>
            </w:pPr>
            <w:r>
              <w:rPr>
                <w:color w:val="44546A"/>
              </w:rPr>
              <w:t>17</w:t>
            </w:r>
            <w:r>
              <w:rPr>
                <w:color w:val="44546A"/>
              </w:rPr>
              <w:t>/</w:t>
            </w:r>
            <w:r>
              <w:rPr>
                <w:color w:val="44546A"/>
              </w:rPr>
              <w:t>11</w:t>
            </w:r>
            <w:r>
              <w:rPr>
                <w:color w:val="44546A"/>
              </w:rPr>
              <w:t>/202</w:t>
            </w:r>
            <w:r>
              <w:rPr>
                <w:color w:val="44546A"/>
              </w:rPr>
              <w:t>5</w:t>
            </w:r>
          </w:p>
          <w:p>
            <w:pPr>
              <w:pStyle w:val="Normal"/>
              <w:shd w:val="clear" w:color="auto" w:fill="auto"/>
              <w:spacing w:before="0" w:after="200"/>
              <w:ind w:hanging="720" w:left="720"/>
              <w:jc w:val="left"/>
              <w:rPr>
                <w:color w:val="44546A"/>
              </w:rPr>
            </w:pPr>
            <w:r>
              <w:rPr>
                <w:color w:val="44546A"/>
              </w:rPr>
            </w:r>
          </w:p>
          <w:p>
            <w:pPr>
              <w:pStyle w:val="Normal"/>
              <w:shd w:val="clear" w:color="auto" w:fill="auto"/>
              <w:spacing w:before="0" w:after="200"/>
              <w:ind w:hanging="720" w:left="720"/>
              <w:jc w:val="left"/>
              <w:rPr>
                <w:color w:val="44546A"/>
              </w:rPr>
            </w:pPr>
            <w:r>
              <w:rPr>
                <w:color w:val="44546A"/>
              </w:rPr>
            </w:r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auto"/>
              <w:spacing w:before="0" w:after="200"/>
              <w:ind w:hanging="0"/>
              <w:jc w:val="left"/>
              <w:rPr>
                <w:color w:val="44546A"/>
              </w:rPr>
            </w:pPr>
            <w:r>
              <w:rPr/>
              <w:t>Lic. Ariel MAIORANO</w:t>
            </w:r>
            <w:r>
              <w:rPr>
                <w:color w:val="44546A"/>
              </w:rPr>
              <w:t xml:space="preserve">, </w:t>
            </w:r>
            <w:r>
              <w:rPr/>
              <w:t>Laboratorio de Informática, Software Seguro y Criptografía.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auto"/>
              <w:spacing w:before="0" w:after="200"/>
              <w:ind w:hanging="0"/>
              <w:jc w:val="left"/>
              <w:rPr>
                <w:color w:val="44546A"/>
              </w:rPr>
            </w:pPr>
            <w:r>
              <w:rPr/>
              <w:drawing>
                <wp:inline distT="0" distB="0" distL="0" distR="0">
                  <wp:extent cx="1174750" cy="219075"/>
                  <wp:effectExtent l="0" t="0" r="0" b="0"/>
                  <wp:docPr id="2" name="Imagen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475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60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hd w:val="clear" w:color="auto" w:fill="auto"/>
              <w:spacing w:lineRule="auto" w:line="276" w:before="0" w:after="200"/>
              <w:ind w:hanging="0"/>
              <w:jc w:val="left"/>
              <w:rPr>
                <w:color w:val="44546A"/>
              </w:rPr>
            </w:pPr>
            <w:r>
              <w:rPr>
                <w:color w:val="44546A"/>
              </w:rPr>
            </w:r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auto"/>
              <w:spacing w:before="0" w:after="200"/>
              <w:ind w:hanging="0"/>
              <w:jc w:val="left"/>
              <w:rPr>
                <w:color w:val="44546A"/>
              </w:rPr>
            </w:pPr>
            <w:r>
              <w:rPr>
                <w:color w:val="44546A"/>
              </w:rPr>
              <w:t>&lt;Nombre&gt;; &lt;Función&gt;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auto"/>
              <w:spacing w:before="0" w:after="200"/>
              <w:ind w:hanging="0"/>
              <w:jc w:val="left"/>
              <w:rPr>
                <w:color w:val="44546A"/>
              </w:rPr>
            </w:pPr>
            <w:r>
              <w:rPr>
                <w:color w:val="44546A"/>
              </w:rPr>
            </w:r>
          </w:p>
        </w:tc>
      </w:tr>
      <w:tr>
        <w:trPr/>
        <w:tc>
          <w:tcPr>
            <w:tcW w:w="160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hd w:val="clear" w:color="auto" w:fill="auto"/>
              <w:spacing w:lineRule="auto" w:line="276" w:before="0" w:after="200"/>
              <w:ind w:hanging="0"/>
              <w:jc w:val="left"/>
              <w:rPr>
                <w:color w:val="44546A"/>
              </w:rPr>
            </w:pPr>
            <w:r>
              <w:rPr>
                <w:color w:val="44546A"/>
              </w:rPr>
            </w:r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auto"/>
              <w:spacing w:before="0" w:after="200"/>
              <w:ind w:hanging="0"/>
              <w:jc w:val="left"/>
              <w:rPr>
                <w:color w:val="44546A"/>
              </w:rPr>
            </w:pPr>
            <w:r>
              <w:rPr>
                <w:color w:val="44546A"/>
              </w:rPr>
              <w:t>&lt;Nombre&gt;; &lt;Función&gt;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auto"/>
              <w:spacing w:before="0" w:after="200"/>
              <w:ind w:hanging="0"/>
              <w:jc w:val="left"/>
              <w:rPr>
                <w:color w:val="44546A"/>
              </w:rPr>
            </w:pPr>
            <w:r>
              <w:rPr>
                <w:color w:val="44546A"/>
              </w:rPr>
            </w:r>
          </w:p>
        </w:tc>
      </w:tr>
    </w:tbl>
    <w:p>
      <w:pPr>
        <w:pStyle w:val="Normal"/>
        <w:shd w:val="clear" w:color="auto" w:fill="auto"/>
        <w:spacing w:lineRule="auto" w:line="259" w:before="0" w:after="160"/>
        <w:ind w:hanging="0"/>
        <w:rPr>
          <w:color w:val="000000"/>
        </w:rPr>
      </w:pPr>
      <w:r>
        <w:rPr>
          <w:color w:val="000000"/>
        </w:rPr>
      </w:r>
    </w:p>
    <w:tbl>
      <w:tblPr>
        <w:tblStyle w:val="afff4"/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9344"/>
      </w:tblGrid>
      <w:tr>
        <w:trPr/>
        <w:tc>
          <w:tcPr>
            <w:tcW w:w="9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auto"/>
              <w:spacing w:before="0" w:after="200"/>
              <w:ind w:hanging="0"/>
              <w:rPr>
                <w:color w:val="000000"/>
              </w:rPr>
            </w:pPr>
            <w:bookmarkStart w:id="1" w:name="_heading=h.gjdgxs"/>
            <w:bookmarkEnd w:id="1"/>
            <w:r>
              <w:rPr>
                <w:color w:val="000000"/>
              </w:rPr>
              <w:t xml:space="preserve">Observaciones: </w:t>
            </w:r>
          </w:p>
          <w:p>
            <w:pPr>
              <w:pStyle w:val="Normal"/>
              <w:shd w:val="clear" w:color="auto" w:fill="auto"/>
              <w:spacing w:before="0" w:after="200"/>
              <w:ind w:hanging="0"/>
              <w:rPr>
                <w:color w:val="000000"/>
              </w:rPr>
            </w:pPr>
            <w:r>
              <w:rPr>
                <w:color w:val="000000"/>
              </w:rPr>
            </w:r>
            <w:bookmarkStart w:id="2" w:name="_heading=h.wecu0jxmxygv"/>
            <w:bookmarkStart w:id="3" w:name="_heading=h.wecu0jxmxygv"/>
            <w:bookmarkEnd w:id="3"/>
          </w:p>
          <w:p>
            <w:pPr>
              <w:pStyle w:val="Normal"/>
              <w:shd w:val="clear" w:color="auto" w:fill="auto"/>
              <w:spacing w:before="0" w:after="200"/>
              <w:ind w:hanging="0"/>
              <w:rPr>
                <w:color w:val="000000"/>
              </w:rPr>
            </w:pPr>
            <w:bookmarkStart w:id="4" w:name="_heading=h.6mvhm661yrg0"/>
            <w:bookmarkEnd w:id="4"/>
            <w:r>
              <w:rPr>
                <w:color w:val="000000"/>
              </w:rPr>
              <w:t xml:space="preserve">Ariel Maiorano: </w:t>
            </w:r>
            <w:r>
              <w:rPr>
                <w:color w:val="000000"/>
              </w:rPr>
              <w:t>L</w:t>
            </w:r>
            <w:r>
              <w:rPr>
                <w:color w:val="000000"/>
              </w:rPr>
              <w:t xml:space="preserve">os aspectos más importantes a ser tenidos en cuenta en materia de </w:t>
            </w:r>
            <w:r>
              <w:rPr>
                <w:color w:val="000000"/>
              </w:rPr>
              <w:t>calidad</w:t>
            </w:r>
            <w:r>
              <w:rPr>
                <w:color w:val="000000"/>
              </w:rPr>
              <w:t xml:space="preserve"> fueron </w:t>
            </w:r>
            <w:r>
              <w:rPr>
                <w:color w:val="000000"/>
              </w:rPr>
              <w:t>considerados</w:t>
            </w:r>
            <w:r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De la revisión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del sistema en funcionamiento </w:t>
            </w:r>
            <w:r>
              <w:rPr>
                <w:color w:val="000000"/>
              </w:rPr>
              <w:t xml:space="preserve">junto al alumno durante la prueba de laboratorio se considera, </w:t>
            </w:r>
            <w:r>
              <w:rPr>
                <w:color w:val="000000"/>
              </w:rPr>
              <w:t>de acuerdo a los criterios de evaluación establecidos, como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M</w:t>
            </w:r>
            <w:r>
              <w:rPr>
                <w:color w:val="000000"/>
              </w:rPr>
              <w:t xml:space="preserve">uy satisfactorio / </w:t>
            </w:r>
            <w:r>
              <w:rPr>
                <w:color w:val="000000"/>
              </w:rPr>
              <w:t>Muy bueno</w:t>
            </w:r>
            <w:r>
              <w:rPr>
                <w:color w:val="000000"/>
              </w:rPr>
              <w:t xml:space="preserve">. La nota general sugerida es </w:t>
            </w:r>
            <w:r>
              <w:rPr>
                <w:color w:val="000000"/>
              </w:rPr>
              <w:t>8</w:t>
            </w:r>
            <w:r>
              <w:rPr>
                <w:color w:val="000000"/>
              </w:rPr>
              <w:t xml:space="preserve"> (</w:t>
            </w:r>
            <w:r>
              <w:rPr>
                <w:color w:val="000000"/>
              </w:rPr>
              <w:t>ocho</w:t>
            </w:r>
            <w:r>
              <w:rPr>
                <w:color w:val="000000"/>
              </w:rPr>
              <w:t xml:space="preserve">), por lo que se lo considera habilitado para la presentación </w:t>
            </w:r>
            <w:r>
              <w:rPr>
                <w:color w:val="000000"/>
              </w:rPr>
              <w:t>final.</w:t>
            </w:r>
          </w:p>
          <w:p>
            <w:pPr>
              <w:pStyle w:val="Normal"/>
              <w:shd w:val="clear" w:color="auto" w:fill="auto"/>
              <w:spacing w:before="0" w:after="200"/>
              <w:ind w:hanging="0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before="0" w:after="160"/>
        <w:jc w:val="both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418" w:right="1134" w:gutter="0" w:header="709" w:top="1418" w:footer="0" w:bottom="141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ucida Bright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Lucida Bright" w:hAnsi="Lucida Bright"/>
        <w:i/>
        <w:i/>
        <w:iCs/>
      </w:rPr>
    </w:pPr>
    <w:r>
      <w:rPr>
        <w:rFonts w:ascii="Lucida Bright" w:hAnsi="Lucida Bright"/>
        <w:i/>
        <w:iCs/>
      </w:rPr>
      <w:t>FIE - UNDEF</w:t>
      <w:tab/>
      <w:t>Proyecto de Promoción y Síntesis</w:t>
      <w:tab/>
      <w:t>Ciclo Lectivo 2025</w:t>
    </w:r>
  </w:p>
  <w:p>
    <w:pPr>
      <w:pStyle w:val="Header"/>
      <w:rPr>
        <w:rFonts w:ascii="Lucida Bright" w:hAnsi="Lucida Bright"/>
        <w:i/>
        <w:i/>
        <w:iCs/>
      </w:rPr>
    </w:pPr>
    <w:r>
      <w:rPr>
        <w:rFonts w:ascii="Lucida Bright" w:hAnsi="Lucida Bright"/>
        <w:i/>
        <w:iCs/>
      </w:rPr>
      <w:tab/>
      <w:t>Ingeniería Informática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Lucida Bright" w:hAnsi="Lucida Bright"/>
        <w:i/>
        <w:i/>
        <w:iCs/>
      </w:rPr>
    </w:pPr>
    <w:r>
      <w:rPr>
        <w:rFonts w:ascii="Lucida Bright" w:hAnsi="Lucida Bright"/>
        <w:i/>
        <w:iCs/>
      </w:rPr>
      <w:t>FIE - UNDEF</w:t>
      <w:tab/>
      <w:t>Proyecto de Promoción y Síntesis</w:t>
      <w:tab/>
      <w:t>Ciclo Lectivo 2025</w:t>
    </w:r>
  </w:p>
  <w:p>
    <w:pPr>
      <w:pStyle w:val="Header"/>
      <w:rPr>
        <w:rFonts w:ascii="Lucida Bright" w:hAnsi="Lucida Bright"/>
        <w:i/>
        <w:i/>
        <w:iCs/>
      </w:rPr>
    </w:pPr>
    <w:r>
      <w:rPr>
        <w:rFonts w:ascii="Lucida Bright" w:hAnsi="Lucida Bright"/>
        <w:i/>
        <w:iCs/>
      </w:rPr>
      <w:tab/>
      <w:t>Ingeniería Informática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284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A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A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4e21f1"/>
    <w:rPr/>
  </w:style>
  <w:style w:type="character" w:styleId="PiedepginaCar" w:customStyle="1">
    <w:name w:val="Pie de página Car"/>
    <w:basedOn w:val="DefaultParagraphFont"/>
    <w:uiPriority w:val="99"/>
    <w:qFormat/>
    <w:rsid w:val="004e21f1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4e21f1"/>
    <w:pPr>
      <w:tabs>
        <w:tab w:val="clear" w:pos="284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4e21f1"/>
    <w:pPr>
      <w:tabs>
        <w:tab w:val="clear" w:pos="284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0144f7"/>
    <w:pPr>
      <w:spacing w:before="0" w:after="160"/>
      <w:ind w:left="720"/>
      <w:contextualSpacing/>
      <w:jc w:val="both"/>
    </w:pPr>
    <w:rPr/>
  </w:style>
  <w:style w:type="paragraph" w:styleId="normal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AR" w:eastAsia="en-US" w:bidi="ar-SA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905c5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LibreOffice/25.2.3.2$Linux_X86_64 LibreOffice_project/520$Build-2</Application>
  <AppVersion>15.0000</AppVersion>
  <Pages>2</Pages>
  <Words>273</Words>
  <Characters>1883</Characters>
  <CharactersWithSpaces>2090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2024-09-24T14:10:00Z</dcterms:created>
  <dc:creator>Elvira Quiroga</dc:creator>
  <dc:description/>
  <dc:language>es-AR</dc:language>
  <cp:lastModifiedBy/>
  <dcterms:modified xsi:type="dcterms:W3CDTF">2025-11-17T19:39:28Z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