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Reporte de Evaluación — Anexo 3 (Seguridad)</w:t>
      </w:r>
    </w:p>
    <w:p>
      <w:r>
        <w:t>Proyecto: Agente 1, Extension Bot (PPS Juan Ignacio Goñe)</w:t>
      </w:r>
    </w:p>
    <w:p>
      <w:r>
        <w:t>Contenido derivado de la tabla fuente Documentos/Laboratorio/Perfil-Seguridad-Sistema-Demostracion-v1.md. Las columnas de nivel las completa el laboratorio. Foto declarada por el autor; los niveles de competencia los asigna el laboratorio.</w:t>
      </w:r>
    </w:p>
    <w:p>
      <w:r>
        <w:t>Factores de Seguridad: NIST Cybersecurity Framework (declarado una vez a nivel Sistema); OWASP Top 10 y OWASP Top 10 for LLM Applications por ítem donde toca; MITRE ATT&amp;CK sólo para las técnicas que el diseño habilita.</w:t>
      </w:r>
    </w:p>
    <w:p>
      <w:r>
        <w:t>Equivalencia de escalas: A = Implementado (MB, Muy Bueno / Satisfactorio); B = Implementado (B, Bueno / en proceso); C = Previsto (Debe Implem.); No aplica = No previsto (No es necesario); Remite = se declara en otro anexo; D lo asigna el laboratorio; RA es una calificación dentro de A o 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Componente</w:t>
            </w:r>
          </w:p>
        </w:tc>
        <w:tc>
          <w:tcPr>
            <w:tcW w:type="dxa" w:w="1440"/>
          </w:tcPr>
          <w:p>
            <w:r>
              <w:t>Ítem</w:t>
            </w:r>
          </w:p>
        </w:tc>
        <w:tc>
          <w:tcPr>
            <w:tcW w:type="dxa" w:w="1440"/>
          </w:tcPr>
          <w:p>
            <w:r>
              <w:t>Implementado</w:t>
            </w:r>
          </w:p>
        </w:tc>
        <w:tc>
          <w:tcPr>
            <w:tcW w:type="dxa" w:w="1440"/>
          </w:tcPr>
          <w:p>
            <w:r>
              <w:t>Previsto</w:t>
            </w:r>
          </w:p>
        </w:tc>
        <w:tc>
          <w:tcPr>
            <w:tcW w:type="dxa" w:w="1440"/>
          </w:tcPr>
          <w:p>
            <w:r>
              <w:t>No previsto</w:t>
            </w:r>
          </w:p>
        </w:tc>
        <w:tc>
          <w:tcPr>
            <w:tcW w:type="dxa" w:w="1440"/>
          </w:tcPr>
          <w:p>
            <w:r>
              <w:t>Comentario</w:t>
            </w:r>
          </w:p>
        </w:tc>
      </w:tr>
      <w:tr>
        <w:tc>
          <w:tcPr>
            <w:tcW w:type="dxa" w:w="1440"/>
          </w:tcPr>
          <w:p>
            <w:r>
              <w:t>Canal</w:t>
            </w:r>
          </w:p>
        </w:tc>
        <w:tc>
          <w:tcPr>
            <w:tcW w:type="dxa" w:w="1440"/>
          </w:tcPr>
          <w:p>
            <w:r>
              <w:t>Identidad y rol del pedido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Autenticación. El canal de pedidos es un Form restringido al dominio de la FIE con correo verificado; el rol sale del padrón externo y quien no figura recibe el rol centinela `no_en_padron`, que no está habilitado: el pedido se rechaza y se registra (ADR 0005) Evidencia versionada: src/agente1/canal_form.py; tests/test_canal_form.py (test_correo_fuera_de_padron_recibe_el_rol_centinela; test_correo_en_padron_recibe_su_rol); tests/test_canal_planilla.py (test_una_fila_de_pedido_con_identidad_incompleta_se_omite); docs/adr/0005-identidad-verificada-por-formulario-rol-por-padron.md. Paso en vivo: Paso planificado (no ejecutado): `uv run python scripts/atender_canal_form.py --live --confirm-write-workspace --directorio &lt;dir&gt;` con un pedido respondido en el Form de D2. Correspondencia: OWASP A01 (Broken Access Control) · OWASP A07 (Identification and Authentication Failures).</w:t>
            </w:r>
          </w:p>
        </w:tc>
      </w:tr>
      <w:tr>
        <w:tc>
          <w:tcPr>
            <w:tcW w:type="dxa" w:w="1440"/>
          </w:tcPr>
          <w:p>
            <w:r>
              <w:t>Canal</w:t>
            </w:r>
          </w:p>
        </w:tc>
        <w:tc>
          <w:tcPr>
            <w:tcW w:type="dxa" w:w="1440"/>
          </w:tcPr>
          <w:p>
            <w:r>
              <w:t>No persistencia de la prosa del pedido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Confidencialidad. La prosa no se guarda: ni en el registro de atendidos, ni en el aviso, ni en el link de repregunta, que usa un identificador institucional determinístico Evidencia versionada: src/agente1/canal_form.py; tests/test_canal_form.py; tests/test_interpretacion.py (test_la_prosa_del_pedido_nunca_aparece_en_el_registro). Paso en vivo: `uv run pytest -q tests/test_canal_form.py -k "prosa"`.</w:t>
            </w:r>
          </w:p>
        </w:tc>
      </w:tr>
      <w:tr>
        <w:tc>
          <w:tcPr>
            <w:tcW w:type="dxa" w:w="1440"/>
          </w:tcPr>
          <w:p>
            <w:r>
              <w:t>Canal</w:t>
            </w:r>
          </w:p>
        </w:tc>
        <w:tc>
          <w:tcPr>
            <w:tcW w:type="dxa" w:w="1440"/>
          </w:tcPr>
          <w:p>
            <w:r>
              <w:t>Lectura fail-closed de la hoja y del registro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Una fila sin correo válido se omite; un registro de atendidos corrupto frena la lectura; una hoja rota propaga error de fuente y no una lista vacía Evidencia versionada: src/agente1/canal_form.py; tests/test_canal_form.py (test_registro_atendidos_corrupto_frena_la_lectura; test_la_sheet_rota_propaga_error_de_fuente_no_lista_vacia). Paso en vivo: `uv run pytest -q tests/test_canal_form.py -k "corrupto or sheet_rota"`.</w:t>
            </w:r>
          </w:p>
        </w:tc>
      </w:tr>
      <w:tr>
        <w:tc>
          <w:tcPr>
            <w:tcW w:type="dxa" w:w="1440"/>
          </w:tcPr>
          <w:p>
            <w:r>
              <w:t>Canal</w:t>
            </w:r>
          </w:p>
        </w:tc>
        <w:tc>
          <w:tcPr>
            <w:tcW w:type="dxa" w:w="1440"/>
          </w:tcPr>
          <w:p>
            <w:r>
              <w:t>La prosa del pedido es dato, nunca instrucción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Robustez ante entradas no confiables. Un intento de inyección en la prosa produce una intención válida del catálogo o un rechazo; nunca llega como instrucción al prompt del generador y nunca se persiste en claro (ADR 0001) Evidencia versionada: src/agente1/interpretacion.py; tests/test_interpretacion.py (test_intento_de_inyeccion_solo_produce_intencion_valida_o_rechazo; test_prosa_de_inyeccion_no_llega_al_prompt_del_generador). Paso en vivo: `uv run pytest -q tests/test_interpretacion.py -k "inyeccion"`. Correspondencia: OWASP A03 (Injection) · OWASP Top 10 for LLM — LLM01 Prompt Injection.</w:t>
            </w:r>
          </w:p>
        </w:tc>
      </w:tr>
      <w:tr>
        <w:tc>
          <w:tcPr>
            <w:tcW w:type="dxa" w:w="1440"/>
          </w:tcPr>
          <w:p>
            <w:r>
              <w:t>Interpretación</w:t>
            </w:r>
          </w:p>
        </w:tc>
        <w:tc>
          <w:tcPr>
            <w:tcW w:type="dxa" w:w="1440"/>
          </w:tcPr>
          <w:p>
            <w:r>
              <w:t>Catálogo cerrado de intenciones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Autorización. Una solicitud fuera de alcance se rechaza; no se aproxima a la intención más parecida; el contenido de la planilla de actividades no entra a ningún prompt (ADR 0001) Evidencia versionada: src/agente1/contracts/intenciones_v3.schema.json; tests/test_interpretacion.py (fuera de alcance no se aproxima; la planilla no llega al prompt). Paso en vivo: `uv run pytest -q tests/test_interpretacion.py -k "fuera_de_alcance or catalogo"`. Correspondencia: OWASP A04 (Insecure Design).</w:t>
            </w:r>
          </w:p>
        </w:tc>
      </w:tr>
      <w:tr>
        <w:tc>
          <w:tcPr>
            <w:tcW w:type="dxa" w:w="1440"/>
          </w:tcPr>
          <w:p>
            <w:r>
              <w:t>Interpretación</w:t>
            </w:r>
          </w:p>
        </w:tc>
        <w:tc>
          <w:tcPr>
            <w:tcW w:type="dxa" w:w="1440"/>
          </w:tcPr>
          <w:p>
            <w:r>
              <w:t>Registro sin prosa ni identidad en claro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Trazabilidad. El registro de interacciones conserva sólo el derivado estructurado y la identidad hasheada; la interacción pendiente guarda lo que produjo el agente, nunca prosa del pedido Evidencia versionada: tests/test_interpretacion.py (test_la_prosa_del_pedido_nunca_aparece_en_el_registro; test_post_registra_solo_derivado_estructurado_nunca_prosa). Paso en vivo: `uv run pytest -q tests/test_interpretacion.py -k "registro or prosa"`.</w:t>
            </w:r>
          </w:p>
        </w:tc>
      </w:tr>
      <w:tr>
        <w:tc>
          <w:tcPr>
            <w:tcW w:type="dxa" w:w="1440"/>
          </w:tcPr>
          <w:p>
            <w:r>
              <w:t>Interpretación</w:t>
            </w:r>
          </w:p>
        </w:tc>
        <w:tc>
          <w:tcPr>
            <w:tcW w:type="dxa" w:w="1440"/>
          </w:tcPr>
          <w:p>
            <w:r>
              <w:t>Fallback del intérprete validado contra contrato acotado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Robustez ante entradas no confiables. La salida del modelo en el fallback se valida contra un contrato acotado: una salida manipulada no produce una intención inexistente; la que no cumple se descarta; una falla del intérprete no propaga excepción Evidencia versionada: src/agente1/contracts/interpretacion_fallback_v3.schema.json; tests/test_interpretacion.py (salida manipulada sin intención inexistente; salida fuera de contrato descartada; falla del intérprete contenida). Paso en vivo: `uv run pytest -q tests/test_interpretacion.py -k "manipulada or descarta or falla"`. Correspondencia: OWASP Top 10 for LLM — LLM01 Prompt Injection.</w:t>
            </w:r>
          </w:p>
        </w:tc>
      </w:tr>
      <w:tr>
        <w:tc>
          <w:tcPr>
            <w:tcW w:type="dxa" w:w="1440"/>
          </w:tcPr>
          <w:p>
            <w:r>
              <w:t>Generación</w:t>
            </w:r>
          </w:p>
        </w:tc>
        <w:tc>
          <w:tcPr>
            <w:tcW w:type="dxa" w:w="1440"/>
          </w:tcPr>
          <w:p>
            <w:r>
              <w:t>Allowlist de identificadores y control de escape de directorio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Autorización. El id de solicitud pasa por una allowlist antes de construir cualquier path o título; el path resuelto se revalida por si un enlace simbólico apunta fuera del árbol de salida Evidencia versionada: src/agente1/destinos.py (ID_SOLICITUD_RE; doble control de escape); tests/test_destinos.py; tests/test_procesar_gacetilla.py (test_id_solicitud_no_permite_salir_del_directorio_de_borradores). Paso en vivo: `uv run pytest -q tests/test_destinos.py`. Correspondencia: OWASP A01 (Broken Access Control) · OWASP A03 (Injection).</w:t>
            </w:r>
          </w:p>
        </w:tc>
      </w:tr>
      <w:tr>
        <w:tc>
          <w:tcPr>
            <w:tcW w:type="dxa" w:w="1440"/>
          </w:tcPr>
          <w:p>
            <w:r>
              <w:t>Generación</w:t>
            </w:r>
          </w:p>
        </w:tc>
        <w:tc>
          <w:tcPr>
            <w:tcW w:type="dxa" w:w="1440"/>
          </w:tcPr>
          <w:p>
            <w:r>
              <w:t>Auditoría de generación sin contenido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Confidencialidad. Cada ejecución deja una línea JSONL con correlation id, hashes de fuente, prompt, contrato, política y modelo, y latencia; los códigos de error se filtran contra una allowlist y el log no copia datos de la actividad ni el texto generado Evidencia versionada: src/agente1/procesamiento.py; tests/test_procesar_gacetilla.py (test_falla_del_generador_se_registra_sin_datos_y_no_crea_borrador). Paso en vivo: `uv run pytest -q tests/test_procesar_gacetilla.py -k "registra or log"`. Correspondencia: OWASP A09 (Security Logging and Monitoring Failures).</w:t>
            </w:r>
          </w:p>
        </w:tc>
      </w:tr>
      <w:tr>
        <w:tc>
          <w:tcPr>
            <w:tcW w:type="dxa" w:w="1440"/>
          </w:tcPr>
          <w:p>
            <w:r>
              <w:t>Generación</w:t>
            </w:r>
          </w:p>
        </w:tc>
        <w:tc>
          <w:tcPr>
            <w:tcW w:type="dxa" w:w="1440"/>
          </w:tcPr>
          <w:p>
            <w:r>
              <w:t>Errores del modelo colapsados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Confidencialidad. Todo error de red o de forma del generador se colapsa a un error genérico para que el prompt (con datos de la actividad) no llegue al log Evidencia versionada: src/agente1/ollama.py; tests/test_ollama.py (test_ollama_oculta_error_http_y_cuerpo_remoto). Paso en vivo: `uv run pytest -q tests/test_ollama.py -k oculta`. Correspondencia: OWASP A09 (Security Logging and Monitoring Failures).</w:t>
            </w:r>
          </w:p>
        </w:tc>
      </w:tr>
      <w:tr>
        <w:tc>
          <w:tcPr>
            <w:tcW w:type="dxa" w:w="1440"/>
          </w:tcPr>
          <w:p>
            <w:r>
              <w:t>Generación</w:t>
            </w:r>
          </w:p>
        </w:tc>
        <w:tc>
          <w:tcPr>
            <w:tcW w:type="dxa" w:w="1440"/>
          </w:tcPr>
          <w:p>
            <w:r>
              <w:t>Gate de salida fail-closed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El gate descarta la salida entera ante cualquier incumplimiento verificable: variable faltante, desconocida o renombrada, dígito, fecha, importe, correo o enlace escritos por el modelo, hecho copiado de la fuente, dato personal, eco de prompting, promesa prohibida, salida truncada o registro no rioplatense Evidencia versionada: tests/test_plantillas_actividad.py; tests/test_posts.py; tests/test_posts_structured.py; tests/test_linea_descriptiva.py; tests/test_procesar_gacetilla.py (test_salida_no_conforme_se_audita_sin_crear_borrador; test_salida_truncada_sin_puntuacion_final_se_rechaza). Paso en vivo: `uv run pytest -q tests/test_plantillas_actividad.py`. Correspondencia: OWASP Top 10 for LLM — manejo de la salida del modelo.</w:t>
            </w:r>
          </w:p>
        </w:tc>
      </w:tr>
      <w:tr>
        <w:tc>
          <w:tcPr>
            <w:tcW w:type="dxa" w:w="1440"/>
          </w:tcPr>
          <w:p>
            <w:r>
              <w:t>Generación</w:t>
            </w:r>
          </w:p>
        </w:tc>
        <w:tc>
          <w:tcPr>
            <w:tcW w:type="dxa" w:w="1440"/>
          </w:tcPr>
          <w:p>
            <w:r>
              <w:t>Marca de borrador revalidada en el destino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Todo contenido debe empezar con `BORRADOR — NO PUBLICAR`; el adapter rechaza cualquier texto sin esa cabecera, aunque se construya por otro camino y se saltee el pipeline Evidencia versionada: src/agente1/destinos.py; tests/test_destinos.py (test_markdown_rechaza_id_inseguro_y_contenido_sin_marker); tests/test_procesar_gacetilla.py (test_borrador_generado_conserva_marca_y_estado_pendiente). Paso en vivo: `uv run pytest -q tests/test_destinos.py`. Correspondencia: OWASP Top 10 for LLM — manejo de la salida del modelo.</w:t>
            </w:r>
          </w:p>
        </w:tc>
      </w:tr>
      <w:tr>
        <w:tc>
          <w:tcPr>
            <w:tcW w:type="dxa" w:w="1440"/>
          </w:tcPr>
          <w:p>
            <w:r>
              <w:t>Generación</w:t>
            </w:r>
          </w:p>
        </w:tc>
        <w:tc>
          <w:tcPr>
            <w:tcW w:type="dxa" w:w="1440"/>
          </w:tcPr>
          <w:p>
            <w:r>
              <w:t>Modelo local sin salida a internet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Disponibilidad. El adapter de Ollama sólo acepta `localhost` o una IP de loopback (impedido en código): el tráfico hacia el modelo no abandona la máquina Evidencia versionada: src/agente1/ollama.py; tests/test_ollama.py (test_ollama_rechaza_base_url_fuera_del_loopback; test_ollama_acepta_http_loopback). Paso en vivo: `uv run pytest -q tests/test_ollama.py -k loopback`.</w:t>
            </w:r>
          </w:p>
        </w:tc>
      </w:tr>
      <w:tr>
        <w:tc>
          <w:tcPr>
            <w:tcW w:type="dxa" w:w="1440"/>
          </w:tcPr>
          <w:p>
            <w:r>
              <w:t>Gates</w:t>
            </w:r>
          </w:p>
        </w:tc>
        <w:tc>
          <w:tcPr>
            <w:tcW w:type="dxa" w:w="1440"/>
          </w:tcPr>
          <w:p>
            <w:r>
              <w:t>Fail-closed por tipo y origen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Autorización. Un tipo de notificación fuera del catálogo es `INVALIDA`; un origen no permitido bloquea el envío; una regla `NO_MECANIZABLE` no se aplica ni se declara cumplida Evidencia versionada: src/agente1/origenes_inscripcion.py; src/agente1/tipos_notificacion.py; tests/test_matriz_origenes_inscripcion.py; tests/test_politica_redes.py (test_politica_construida_a_mano_no_aplica_reglas_que_no_declara). Paso en vivo: `uv run pytest -q tests/test_matriz_origenes_inscripcion.py`. Correspondencia: OWASP A04 (Insecure Design).</w:t>
            </w:r>
          </w:p>
        </w:tc>
      </w:tr>
      <w:tr>
        <w:tc>
          <w:tcPr>
            <w:tcW w:type="dxa" w:w="1440"/>
          </w:tcPr>
          <w:p>
            <w:r>
              <w:t>Gates</w:t>
            </w:r>
          </w:p>
        </w:tc>
        <w:tc>
          <w:tcPr>
            <w:tcW w:type="dxa" w:w="1440"/>
          </w:tcPr>
          <w:p>
            <w:r>
              <w:t>Integridad del gate (SLO del 100 %)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Ninguna pieza no conforme se presenta como conforme; cada regla tiene código de gate y caso negativo; la suite falla si se agrega una regla activa sin regresión Evidencia versionada: src/agente1/politica_redes.py; tests/test_politica_redes.py (test_toda_regla_activa_tiene_caso_negativo_de_regresion); tests/test_tipos_notificacion.py; Implementacion/Agente1/evidencias/regresion-consolidada-2026-09-08.md (las 6 salidas v3 incumplidas se detectaron y rechazaron). Paso en vivo: `uv run pytest -q tests/test_politica_redes.py tests/test_tipos_notificacion.py`. Correspondencia: OWASP A04 (Insecure Design).</w:t>
            </w:r>
          </w:p>
        </w:tc>
      </w:tr>
      <w:tr>
        <w:tc>
          <w:tcPr>
            <w:tcW w:type="dxa" w:w="1440"/>
          </w:tcPr>
          <w:p>
            <w:r>
              <w:t>Control de pagos</w:t>
            </w:r>
          </w:p>
        </w:tc>
        <w:tc>
          <w:tcPr>
            <w:tcW w:type="dxa" w:w="1440"/>
          </w:tcPr>
          <w:p>
            <w:r>
              <w:t>Buzón propio de sólo lectura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Autorización. El buzón se lee con `gmail.readonly`, sobre el usuario `me` literal, con exactamente tres endpoints de lectura; no hay `modify`, `trash`, `send` ni `labels` (ADR 0004) Evidencia versionada: src/agente1/buzon_gmail.py; tests/test_buzon_gmail.py (test_todos_los_requests_son_get_de_lectura_del_usuario_me). Paso en vivo: `uv run pytest -q tests/test_buzon_gmail.py -k "me or lectura"`. Correspondencia: OWASP A01 (Broken Access Control).</w:t>
            </w:r>
          </w:p>
        </w:tc>
      </w:tr>
      <w:tr>
        <w:tc>
          <w:tcPr>
            <w:tcW w:type="dxa" w:w="1440"/>
          </w:tcPr>
          <w:p>
            <w:r>
              <w:t>Control de pagos</w:t>
            </w:r>
          </w:p>
        </w:tc>
        <w:tc>
          <w:tcPr>
            <w:tcW w:type="dxa" w:w="1440"/>
          </w:tcPr>
          <w:p>
            <w:r>
              <w:t>Nada se persiste; adjuntos hasheados en memoria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Confidencialidad. El informe de control de pagos sale por stdout en JSON ordenado y no se persiste; los adjuntos del buzón se hashean en memoria y el contenido no puede llegar a un modelo (el mensaje no tiene campo para él) Evidencia versionada: src/agente1/cli_pagos.py; src/agente1/buzon_gmail.py; tests/test_buzon_gmail.py (test_el_contenido_del_adjunto_no_llega_al_mensaje). Paso en vivo: `uv run pytest -q tests/test_buzon_gmail.py -k "adjunto or contenido"`.</w:t>
            </w:r>
          </w:p>
        </w:tc>
      </w:tr>
      <w:tr>
        <w:tc>
          <w:tcPr>
            <w:tcW w:type="dxa" w:w="1440"/>
          </w:tcPr>
          <w:p>
            <w:r>
              <w:t>Control de pagos</w:t>
            </w:r>
          </w:p>
        </w:tc>
        <w:tc>
          <w:tcPr>
            <w:tcW w:type="dxa" w:w="1440"/>
          </w:tcPr>
          <w:p>
            <w:r>
              <w:t>Situación de pago derivada, sin estado propio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La situación se recalcula como función pura en cada corrida (ADR 0003); un comprobante presentado nunca cuenta como pago confirmado; una respuesta no asociada se informa sin interpretar su contenido Evidencia versionada: src/agente1/pagos.py; tests/test_pagos.py; tests/test_novedades_pagos.py; docs/adr/0003-estado-de-pago-derivado-no-persistido.md. Paso en vivo: `uv run python -m agente1 control-pagos --plan data/plan_pagos_notebooklm_n2.csv --padron data/padron_pagos_sintetico.csv --buzon &lt;dir&gt;`.</w:t>
            </w:r>
          </w:p>
        </w:tc>
      </w:tr>
      <w:tr>
        <w:tc>
          <w:tcPr>
            <w:tcW w:type="dxa" w:w="1440"/>
          </w:tcPr>
          <w:p>
            <w:r>
              <w:t>Control de pagos</w:t>
            </w:r>
          </w:p>
        </w:tc>
        <w:tc>
          <w:tcPr>
            <w:tcW w:type="dxa" w:w="1440"/>
          </w:tcPr>
          <w:p>
            <w:r>
              <w:t>Fuentes inválidas rechazadas enteras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Un encabezado distinto, una columna faltante o una fila desalineada se rechazan enteros; un buzón inexistente termina con código controlado Evidencia versionada: tests/test_pagos.py; tests/test_novedades_pagos.py; tests/test_buzon_gmail.py. Paso en vivo: `uv run pytest -q tests/test_pagos.py -k "encabezado or desalineada"`.</w:t>
            </w:r>
          </w:p>
        </w:tc>
      </w:tr>
      <w:tr>
        <w:tc>
          <w:tcPr>
            <w:tcW w:type="dxa" w:w="1440"/>
          </w:tcPr>
          <w:p>
            <w:r>
              <w:t>Aprobación</w:t>
            </w:r>
          </w:p>
        </w:tc>
        <w:tc>
          <w:tcPr>
            <w:tcW w:type="dxa" w:w="1440"/>
          </w:tcPr>
          <w:p>
            <w:r>
              <w:t>Identidad verificada por Google en el Form de decisiones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Autenticación. El Form restringe al dominio y recolecta el correo verificado; el rol sale del padrón externo (ADR 0005, ADR 0008) Evidencia versionada: src/agente1/decisiones_form.py; tests/test_decisiones_form.py; Implementacion/Agente1/evidencias/recorrido-registro-decisiones-form.md. Paso en vivo: Paso planificado (no ejecutado): `uv run python scripts/registrar_form_decisiones.py --live --confirm-write-workspace --directorio &lt;dir&gt;` con el Form de decisiones respondido en D2. Correspondencia: OWASP A01 (Broken Access Control) · OWASP A07 (Identification and Authentication Failures).</w:t>
            </w:r>
          </w:p>
        </w:tc>
      </w:tr>
      <w:tr>
        <w:tc>
          <w:tcPr>
            <w:tcW w:type="dxa" w:w="1440"/>
          </w:tcPr>
          <w:p>
            <w:r>
              <w:t>Aprobación</w:t>
            </w:r>
          </w:p>
        </w:tc>
        <w:tc>
          <w:tcPr>
            <w:tcW w:type="dxa" w:w="1440"/>
          </w:tcPr>
          <w:p>
            <w:r>
              <w:t>Rol exigido por decisión (catálogo cerrado)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Autorización. Cada par tipo/decisión declara el rol que lo habilita; un rol que no corresponde se rechaza y se registra; un correo fuera del padrón se rechaza Evidencia versionada: src/agente1/decisiones_form.py; tests/test_decisiones_form.py (test_decision_de_correo_fuera_del_padron_se_rechaza_y_registra; test_decision_con_rol_que_no_corresponde_no_aprueba). Paso en vivo: `uv run pytest -q tests/test_decisiones_form.py -k "padron or rol"`. Correspondencia: OWASP A01 (Broken Access Control).</w:t>
            </w:r>
          </w:p>
        </w:tc>
      </w:tr>
      <w:tr>
        <w:tc>
          <w:tcPr>
            <w:tcW w:type="dxa" w:w="1440"/>
          </w:tcPr>
          <w:p>
            <w:r>
              <w:t>Aprobación</w:t>
            </w:r>
          </w:p>
        </w:tc>
        <w:tc>
          <w:tcPr>
            <w:tcW w:type="dxa" w:w="1440"/>
          </w:tcPr>
          <w:p>
            <w:r>
              <w:t>Links alterados y objetos inexistentes se rechazan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Un link alterado en tipo, decisión, objeto o id inexistente produce un rechazo con código estable; un objeto sólo vale si el agente lo declaró pendiente; registrar una decisión no dispara ninguna acción Evidencia versionada: src/agente1/decisiones_form.py; tests/test_decisiones_form.py (test_link_alterado_en_tipo_o_decision_se_rechaza; test_link_alterado_con_id_inexistente_se_rechaza). Paso en vivo: `uv run pytest -q tests/test_decisiones_form.py -k alterado`. Correspondencia: OWASP A01 (Broken Access Control).</w:t>
            </w:r>
          </w:p>
        </w:tc>
      </w:tr>
      <w:tr>
        <w:tc>
          <w:tcPr>
            <w:tcW w:type="dxa" w:w="1440"/>
          </w:tcPr>
          <w:p>
            <w:r>
              <w:t>Aprobación</w:t>
            </w:r>
          </w:p>
        </w:tc>
        <w:tc>
          <w:tcPr>
            <w:tcW w:type="dxa" w:w="1440"/>
          </w:tcPr>
          <w:p>
            <w:r>
              <w:t>La aprobación ata el objeto por sha256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Editar la lista de cierre o la plantilla cambia el `sha256` del objeto y la aprobación previa deja de aplicar; una decisión sobre otro texto, otra actividad u otro rol no aprueba esta línea Evidencia versionada: src/agente1/linea_descriptiva.py; tests/test_linea_descriptiva.py (test_decision_sobre_otro_texto_no_aprueba_esta_linea; test_lote_aprobado_no_vale_para_otro_objeto); tests/test_certificados_emision.py. Paso en vivo: `uv run pytest -q tests/test_linea_descriptiva.py -k "objeto or aprob"`. Correspondencia: OWASP A04 (Insecure Design).</w:t>
            </w:r>
          </w:p>
        </w:tc>
      </w:tr>
      <w:tr>
        <w:tc>
          <w:tcPr>
            <w:tcW w:type="dxa" w:w="1440"/>
          </w:tcPr>
          <w:p>
            <w:r>
              <w:t>Aprobación</w:t>
            </w:r>
          </w:p>
        </w:tc>
        <w:tc>
          <w:tcPr>
            <w:tcW w:type="dxa" w:w="1440"/>
          </w:tcPr>
          <w:p>
            <w:r>
              <w:t>Auditoría append-only con identidad hasheada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Trazabilidad. Las decisiones quedan en `decisiones-procesadas.jsonl` con identidad hasheada y fecha con zona horaria; el correo verificado no queda en claro; un registro corrupto interrumpe antes de procesar nada nuevo Evidencia versionada: src/agente1/decisiones_form.py; tests/test_decisiones_form.py (test_registro_corrupto_interrumpe_antes_de_procesar; test_registro_procesadas_corrupto_falla_cerrado). Paso en vivo: `uv run pytest -q tests/test_decisiones_form.py -k corrupto`. Correspondencia: OWASP A09 (Security Logging and Monitoring Failures).</w:t>
            </w:r>
          </w:p>
        </w:tc>
      </w:tr>
      <w:tr>
        <w:tc>
          <w:tcPr>
            <w:tcW w:type="dxa" w:w="1440"/>
          </w:tcPr>
          <w:p>
            <w:r>
              <w:t>Cola y envío</w:t>
            </w:r>
          </w:p>
        </w:tc>
        <w:tc>
          <w:tcPr>
            <w:tcW w:type="dxa" w:w="1440"/>
          </w:tcPr>
          <w:p>
            <w:r>
              <w:t>Doble aprobación obligatoria por máquina de estados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Autorización. Sin las dos aprobaciones (semántica del RGC y utilitaria del Coordinador) registradas no hay encolado ni entrega; el destino habilitado se compara por tipo exacto, nunca por `isinstance` Evidencia versionada: src/agente1/confirmaciones.py; tests/test_confirmaciones.py. Paso en vivo: `uv run pytest -q tests/test_confirmaciones.py -k "aprobacion or envio"`. Correspondencia: OWASP A04 (Insecure Design) · OWASP Top 10 for LLM — agencia excesiva.</w:t>
            </w:r>
          </w:p>
        </w:tc>
      </w:tr>
      <w:tr>
        <w:tc>
          <w:tcPr>
            <w:tcW w:type="dxa" w:w="1440"/>
          </w:tcPr>
          <w:p>
            <w:r>
              <w:t>Cola y envío</w:t>
            </w:r>
          </w:p>
        </w:tc>
        <w:tc>
          <w:tcPr>
            <w:tcW w:type="dxa" w:w="1440"/>
          </w:tcPr>
          <w:p>
            <w:r>
              <w:t>Lista de prueba del envío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Autorización. `gmail.send` opera cercado por una lista de direcciones de prueba que sale de configuración fuera del repo; un destinatario fuera de la lista se rechaza antes del token y de la red, sin reintento Evidencia versionada: src/agente1/gmail_envio.py; tests/test_gmail_envio.py (test_destinatario_fuera_de_la_lista_se_rechaza_antes_de_la_red; test_destinatario_fuera_de_lista_queda_fallida_no_reintentable). Paso en vivo: `uv run pytest -q tests/test_gmail_envio.py -k "lista or rechaz"`. Correspondencia: OWASP A01 (Broken Access Control).</w:t>
            </w:r>
          </w:p>
        </w:tc>
      </w:tr>
      <w:tr>
        <w:tc>
          <w:tcPr>
            <w:tcW w:type="dxa" w:w="1440"/>
          </w:tcPr>
          <w:p>
            <w:r>
              <w:t>Cola y envío</w:t>
            </w:r>
          </w:p>
        </w:tc>
        <w:tc>
          <w:tcPr>
            <w:tcW w:type="dxa" w:w="1440"/>
          </w:tcPr>
          <w:p>
            <w:r>
              <w:t>Idempotencia durable y reconciliación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Reserva intermedia con reconciliación: una reserva colgada pasa a `ENVIO_INDETERMINADO` sin reenviar; la idempotencia por clave absorbe re-corridas (`DUPLICADA`); dos creaciones en paralelo producen un solo borrador Evidencia versionada: src/agente1/confirmaciones.py; tests/test_confirmaciones_durables.py (test_desde_indeterminado_el_pipeline_no_vuelve_a_entregar; test_varias_creaciones_en_paralelo_crean_un_solo_borrador); Implementacion/Agente1/evidencias/recuperacion-hu012-idempotencia-durable-2026-09-08.md. Paso en vivo: `uv run pytest -q tests/test_confirmaciones_durables.py -k "indeterminado or paralelo"`.</w:t>
            </w:r>
          </w:p>
        </w:tc>
      </w:tr>
      <w:tr>
        <w:tc>
          <w:tcPr>
            <w:tcW w:type="dxa" w:w="1440"/>
          </w:tcPr>
          <w:p>
            <w:r>
              <w:t>Cola y envío</w:t>
            </w:r>
          </w:p>
        </w:tc>
        <w:tc>
          <w:tcPr>
            <w:tcW w:type="dxa" w:w="1440"/>
          </w:tcPr>
          <w:p>
            <w:r>
              <w:t>Marca de borrador y adjunto acotado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Todo cuerpo que sale por Gmail conserva la marca de borrador (sin marca se rechaza antes de la red); un correo lleva a lo sumo un adjunto de nombre seguro, dentro del tope y con MIME del allowlist, validado antes del token y de la red Evidencia versionada: src/agente1/gmail_envio.py; tests/test_gmail_envio.py. Paso en vivo: `uv run pytest -q tests/test_gmail_envio.py`. Correspondencia: OWASP Top 10 for LLM — manejo de la salida del modelo.</w:t>
            </w:r>
          </w:p>
        </w:tc>
      </w:tr>
      <w:tr>
        <w:tc>
          <w:tcPr>
            <w:tcW w:type="dxa" w:w="1440"/>
          </w:tcPr>
          <w:p>
            <w:r>
              <w:t>Cola y envío</w:t>
            </w:r>
          </w:p>
        </w:tc>
        <w:tc>
          <w:tcPr>
            <w:tcW w:type="dxa" w:w="1440"/>
          </w:tcPr>
          <w:p>
            <w:r>
              <w:t>Contrato de identificadores de Workspace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Un id de Workspace se valida contra una allowlist antes de interpolarse en una ruta: un id con `/` o `..` no puede redirigir el request a otro recurso Evidencia versionada: src/agente1/google_workspace.py (ID_RE); src/agente1/workspace_config.py (_ID_RE); tests/test_google_sheets.py; tests/test_workspace_config.py. Paso en vivo: `uv run pytest -q tests/test_workspace_config.py`. Correspondencia: OWASP A03 (Injection).</w:t>
            </w:r>
          </w:p>
        </w:tc>
      </w:tr>
      <w:tr>
        <w:tc>
          <w:tcPr>
            <w:tcW w:type="dxa" w:w="1440"/>
          </w:tcPr>
          <w:p>
            <w:r>
              <w:t>Cola y envío</w:t>
            </w:r>
          </w:p>
        </w:tc>
        <w:tc>
          <w:tcPr>
            <w:tcW w:type="dxa" w:w="1440"/>
          </w:tcPr>
          <w:p>
            <w:r>
              <w:t>Deadline absoluto, tope por respuesta y 401/403 sin reintento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Disponibilidad. Todo request de Workspace lleva deadline absoluto y tope de 1 MiB por respuesta; un 401/403 no se reintenta: si se revocaron los permisos, el agente se detiene Evidencia versionada: src/agente1/google_workspace.py; tests/test_google_sheets.py (test_sheets_rechaza_respuesta_invalida_y_sobredimensionada; test_sheets_transport_error_se_redacta_y_no_reintenta). Paso en vivo: `uv run pytest -q tests/test_google_sheets.py -k "sobredimensionada or no_reintenta"`.</w:t>
            </w:r>
          </w:p>
        </w:tc>
      </w:tr>
      <w:tr>
        <w:tc>
          <w:tcPr>
            <w:tcW w:type="dxa" w:w="1440"/>
          </w:tcPr>
          <w:p>
            <w:r>
              <w:t>Persistencia y auditoría</w:t>
            </w:r>
          </w:p>
        </w:tc>
        <w:tc>
          <w:tcPr>
            <w:tcW w:type="dxa" w:w="1440"/>
          </w:tcPr>
          <w:p>
            <w:r>
              <w:t>Auditoría y reportes sólo de códigos, conteos y hashes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Confidencialidad. El reporte de seguridad D2/D3 expone códigos, conteos y hashes opacos; nunca contenido, destinatarios ni cuerpos; rechaza campos sensibles aunque el valor no esté declarado Evidencia versionada: src/agente1/auditoria_d2.py; tests/test_auditoria_seguridad_d2.py (test_logs_rechazan_campos_sensibles_aunque_el_valor_no_este_declarado); Implementacion/Agente1/evidencias/auditoria-seguridad-d2-d3.md. Paso en vivo: `uv run pytest -q tests/test_auditoria_seguridad_d2.py`. Correspondencia: OWASP A09 (Security Logging and Monitoring Failures).</w:t>
            </w:r>
          </w:p>
        </w:tc>
      </w:tr>
      <w:tr>
        <w:tc>
          <w:tcPr>
            <w:tcW w:type="dxa" w:w="1440"/>
          </w:tcPr>
          <w:p>
            <w:r>
              <w:t>Persistencia y auditoría</w:t>
            </w:r>
          </w:p>
        </w:tc>
        <w:tc>
          <w:tcPr>
            <w:tcW w:type="dxa" w:w="1440"/>
          </w:tcPr>
          <w:p>
            <w:r>
              <w:t>Retención acotada del registro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Confidencialidad. La purga a 30 días de los estados terminales vacía `asunto` y `cuerpo` y conserva clave, estado, fechas y `output_hash`: purgar nunca habilita un reenvío (#87, ADR 0009) Evidencia versionada: src/agente1/confirmaciones.py; tests/test_purga_registro.py (test_terminal_vencido_se_purga_y_conserva_traza; test_confirmacion_enviada_y_purgada_no_se_reenvia); docs/adr/0009-el-agente-respalda-su-estado-en-drive-y-borra-sus-propios-respaldos.md. Paso en vivo: `uv run pytest -q tests/test_purga_registro.py -k "purga or conserva"`.</w:t>
            </w:r>
          </w:p>
        </w:tc>
      </w:tr>
      <w:tr>
        <w:tc>
          <w:tcPr>
            <w:tcW w:type="dxa" w:w="1440"/>
          </w:tcPr>
          <w:p>
            <w:r>
              <w:t>Persistencia y auditoría</w:t>
            </w:r>
          </w:p>
        </w:tc>
        <w:tc>
          <w:tcPr>
            <w:tcW w:type="dxa" w:w="1440"/>
          </w:tcPr>
          <w:p>
            <w:r>
              <w:t>Registros durables fail-closed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Un registro corrupto se trata como ausente y no habilita entrega, o interrumpe la lectura; una clave que no es un hash no elige dónde se escribe Evidencia versionada: tests/test_confirmaciones_durables.py (test_un_registro_corrupto_se_trata_como_ausente_y_no_habilita_entrega); tests/test_decisiones_form.py. Paso en vivo: `uv run pytest -q tests/test_confirmaciones_durables.py -k corrupto`.</w:t>
            </w:r>
          </w:p>
        </w:tc>
      </w:tr>
      <w:tr>
        <w:tc>
          <w:tcPr>
            <w:tcW w:type="dxa" w:w="1440"/>
          </w:tcPr>
          <w:p>
            <w:r>
              <w:t>Persistencia y auditoría</w:t>
            </w:r>
          </w:p>
        </w:tc>
        <w:tc>
          <w:tcPr>
            <w:tcW w:type="dxa" w:w="1440"/>
          </w:tcPr>
          <w:p>
            <w:r>
              <w:t>Contratos operativos no destructivos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Health, reconciliación y retención son fail-closed sobre manifests sanitizados y sólo producen planes o reportes: nunca publican, comparten, borran ni modifican recursos Evidencia versionada: src/agente1/operaciones_seguras.py; tests/test_operaciones_seguras.py (test_reconciliacion_solo_emite_estado_e_instruccion_no_destructiva; test_retencion_solo_genera_plan_dry_run_con_referencias_opacas). Paso en vivo: `uv run pytest -q tests/test_operaciones_seguras.py`.</w:t>
            </w:r>
          </w:p>
        </w:tc>
      </w:tr>
      <w:tr>
        <w:tc>
          <w:tcPr>
            <w:tcW w:type="dxa" w:w="1440"/>
          </w:tcPr>
          <w:p>
            <w:r>
              <w:t>Persistencia y auditoría</w:t>
            </w:r>
          </w:p>
        </w:tc>
        <w:tc>
          <w:tcPr>
            <w:tcW w:type="dxa" w:w="1440"/>
          </w:tcPr>
          <w:p>
            <w:r>
              <w:t>Identidad de versión en cada registro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Trazabilidad. Todo registro de auditoría lleva `version_agente` (de `pyproject.toml`) y `manifest_version_sha256`: una pieza se rastrea hasta la versión exacta y la huella de lo controlado que la produjo (#93) Evidencia versionada: src/agente1/registro_auditoria.py; tests/test_version_agente.py. Paso en vivo: `uv run pytest -q tests/test_version_agente.py`.</w:t>
            </w:r>
          </w:p>
        </w:tc>
      </w:tr>
      <w:tr>
        <w:tc>
          <w:tcPr>
            <w:tcW w:type="dxa" w:w="1440"/>
          </w:tcPr>
          <w:p>
            <w:r>
              <w:t>Integraciones</w:t>
            </w:r>
          </w:p>
        </w:tc>
        <w:tc>
          <w:tcPr>
            <w:tcW w:type="dxa" w:w="1440"/>
          </w:tcPr>
          <w:p>
            <w:r>
              <w:t>Allowlist de hosts del plano de datos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Autorización. El agente sólo toca `sheets.googleapis.com`, `docs.googleapis.com`, `www.googleapis.com` y `gmail.googleapis.com` (lectura propia); la auditoría contrasta las llamadas reales contra esa lista y rechaza endpoints de distribución Evidencia versionada: src/agente1/google_workspace.py; src/agente1/auditoria_d2.py; tests/test_auditoria_seguridad_d2.py (test_http_rechaza_hosts_no_workspace_aunque_el_path_no_diga_publicar; test_allowlist_de_hosts_reutiliza_constantes_del_adapter_productivo). Paso en vivo: `uv run pytest -q tests/test_auditoria_seguridad_d2.py -k "host or endpoint"`. Correspondencia: OWASP A01 (Broken Access Control).</w:t>
            </w:r>
          </w:p>
        </w:tc>
      </w:tr>
      <w:tr>
        <w:tc>
          <w:tcPr>
            <w:tcW w:type="dxa" w:w="1440"/>
          </w:tcPr>
          <w:p>
            <w:r>
              <w:t>Integraciones</w:t>
            </w:r>
          </w:p>
        </w:tc>
        <w:tc>
          <w:tcPr>
            <w:tcW w:type="dxa" w:w="1440"/>
          </w:tcPr>
          <w:p>
            <w:r>
              <w:t>El token nunca se guarda ni se registra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Confidencialidad. El token se pide por operación, se valida que no tenga saltos de línea (no se puede inyectar cabecera) y se usa sólo en el header `Authorization`; los errores HTTP se mapean sin filtrar token ni cuerpo Evidencia versionada: src/agente1/google_workspace.py; tests/test_google_sheets.py (test_sheets_rechaza_token_vacio_o_con_inyeccion_sin_invocar_transporte; test_sheets_mapea_http_sin_filtrar_token_o_cuerpo). Paso en vivo: `uv run pytest -q tests/test_google_sheets.py -k "token or filtrar"`. Correspondencia: OWASP A02 (Cryptographic Failures) · OWASP A07 (Identification and Authentication Failures).</w:t>
            </w:r>
          </w:p>
        </w:tc>
      </w:tr>
      <w:tr>
        <w:tc>
          <w:tcPr>
            <w:tcW w:type="dxa" w:w="1440"/>
          </w:tcPr>
          <w:p>
            <w:r>
              <w:t>Integraciones</w:t>
            </w:r>
          </w:p>
        </w:tc>
        <w:tc>
          <w:tcPr>
            <w:tcW w:type="dxa" w:w="1440"/>
          </w:tcPr>
          <w:p>
            <w:r>
              <w:t>Escribir es siempre crear nuevo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No existe operación que modifique, comparta, publique ni cambie permisos; la copia de la plantilla es el único camino; `docs_update_failed_orphaned` informa un hash de reconciliación sin exponer el id Evidencia versionada: src/agente1/google_workspace.py; src/agente1/destinos.py; tests/test_google_docs.py. Paso en vivo: `uv run pytest -q tests/test_google_docs.py`. Correspondencia: OWASP A01 (Broken Access Control).</w:t>
            </w:r>
          </w:p>
        </w:tc>
      </w:tr>
      <w:tr>
        <w:tc>
          <w:tcPr>
            <w:tcW w:type="dxa" w:w="1440"/>
          </w:tcPr>
          <w:p>
            <w:r>
              <w:t>Integraciones</w:t>
            </w:r>
          </w:p>
        </w:tc>
        <w:tc>
          <w:tcPr>
            <w:tcW w:type="dxa" w:w="1440"/>
          </w:tcPr>
          <w:p>
            <w:r>
              <w:t>Transporte HTTP a mano, superficie enumerable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Se usa `http.client` sin SDK para poder enumerar exactamente hosts, métodos y rutas; la auditoría offline lo verifica y no entran dependencias transitivas Evidencia versionada: src/agente1/google_workspace.py; tests/test_auditoria_seguridad_d2.py (test_check_de_endpoints_no_se_elude_con_mayusculas_o_query). Paso en vivo: `uv run pytest -q tests/test_auditoria_seguridad_d2.py`. Correspondencia: OWASP A08 (Software and Data Integrity Failures).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Mecanismo de identidad (eje 1, I)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Autenticación. Cuenta de servicio en un proyecto de Google Cloud de DSI, con domain-wide delegation, que se hace pasar por la cuenta técnica `bot_ia1@`. Es lo que DSI prefiere y ya otorgó; el proyecto es de DSI, así que no queda nada a nombre del autor (ADR 0007) Evidencia versionada: docs/seguridad/modelo-seguridad-cuenta-google-agente-1.md (sección 1); src/agente1/workspace_auth.py; tests/test_workspace_cuenta_servicio.py; Implementacion/Agente1/evidencias/cuenta-servicio-delegada-2026-10-14.md. Paso en vivo: Paso planificado (no ejecutado): smoke live de lectura con la credencial de la cuenta de servicio. Correspondencia: MITRE T1078 (Valid Accounts).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2SV de la cuenta técnica (eje 2, P)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Autenticación. Previsto–no implementado: nadie inicia sesión con la cuenta técnica y no hay llave física disponible; cualquier inicio de sesión es anómalo y dispara una alerta, y en el acta de traspaso DSI resetea la contraseña. Google: https://support.google.com/a/answer/9176657 Evidencia versionada: docs/seguridad/modelo-seguridad-cuenta-google-agente-1.md (sección 2).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Riesgo aceptado de la delegación sobre el dominio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 + RA. Riesgo aceptado (RA): ver el motivo para quién lo aceptó. Factor de seguridad: Autorización. RA (DSI, correo del 13/10): la delegación se autoriza por client ID para todo el dominio; con la clave se puede leer y enviar correo y acceder al Drive como cualquier cuenta de la FIE. Compensación: lista cerrada de cuentas suplantables (#98, ADR 0011), archivo controlado del repo con hashes que entra en el manifest; si el entorno indica otra cuenta, el agente no arranca Evidencia versionada: docs/seguridad/modelo-seguridad-cuenta-google-agente-1.md (sección 1); docs/adr/0011-el-agente-se-hace-pasar-solo-por-su-cuenta-tecnica-con-una-cuenta-de-servicio-de-dsi.md; src/agente1/contracts/cuentas_suplantables_v1.json; tests/test_workspace_cuenta_servicio.py (test_cuenta_fuera_de_la_lista_no_arranca; test_lista_cerrada_contiene_la_cuenta_tecnica). Paso en vivo: `uv run pytest -q tests/test_workspace_cuenta_servicio.py -k "lista or fuera"`. Correspondencia: MITRE T1078 (Valid Accounts).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Scopes por ambiente (eje 3, I)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Autorización. Se piden los scopes autorizados en la delegación: `drive`, `gmail.send` y `gmail.readonly`; Sheets y Docs aceptan `drive`. `drive.file` queda previsto (P) porque cambiarlo es una configuración de DSI Evidencia versionada: docs/seguridad/modelo-seguridad-cuenta-google-agente-1.md (sección 3); src/agente1/workspace_auth.py (SCOPES_CUENTA_SERVICIO).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Ítems que exigen Workspace Standard o Plus (eje 6, P)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Autorización. Previsto–no implementado: Context-Aware Access, eventos «API call» del registro OAuth, reglas de actividad con acciones o umbrales, security investigation tool y export a BigQuery. La edición de la FIE es Education Fundamentals. Google: https://support.google.com/a/answer/11341109 Evidencia versionada: docs/seguridad/modelo-seguridad-cuenta-google-agente-1.md (sección 6); docs/research/controles-seguridad-google-agente-1.md.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Custodia y transporte del secreto (eje 4, I + RA)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 + RA. Riesgo aceptado (RA): ver el motivo para quién lo aceptó. Factor de seguridad: Confidencialidad. La clave JSON se custodia fuera del repo con `chmod 600`, en el host de la demo con disco cifrado; la copia recibida por correo se borra del buzón y de Descargas al instalarse. RA (el autor y DSI): el transporte inicial fue por correo interno del dominio con TLS. La credencial OAuth anterior se da de baja al instalar la cuenta de servicio (#99) Evidencia versionada: docs/seguridad/modelo-seguridad-cuenta-google-agente-1.md (sección 4); docs/adr/0011-el-agente-se-hace-pasar-solo-por-su-cuenta-tecnica-con-una-cuenta-de-servicio-de-dsi.md; src/agente1/workspace_auth.py. Correspondencia: MITRE T1552.004 (Unsecured Credentials: Private Keys).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Restricción de entrega del lado de Google (eje 3, P)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Integridad. Previsto–no implementado: restringir la entrega del lado de Google está pedido a DSI (DSI-R4); si no responde queda previsto. La restricción efectiva hoy es la lista de prueba del agente (D12). Google: https://support.google.com/a/answer/2640542 Evidencia versionada: docs/seguridad/modelo-seguridad-cuenta-google-agente-1.md (sección 3).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Revocación del lado de Google (responsabilidad de DSI)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La revocación la hace DSI: borra o deshabilita la clave, o quita la delegación. DSI no hace pruebas conjuntas de revocación (acta del 13/10). El agente se detiene ante una clave inválida (`workspace_token_exchange_denied`) y eso se prueba de forma local reproducible. La revocación del lado de Google remite a las prácticas de Google sobre claves de cuenta de servicio: https://cloud.google.com/iam/docs/best-practices-for-managing-service-account-keys Evidencia versionada: docs/seguridad/modelo-seguridad-cuenta-google-agente-1.md (sección 4); src/agente1/workspace_auth.py; tests/test_workspace_cuenta_servicio.py (test_intercambio_denegado_falla_con_denied_y_sin_reintento); Implementacion/Agente1/evidencias/cuenta-servicio-delegada-2026-10-14.md. Paso en vivo: `uv run pytest -q tests/test_workspace_cuenta_servicio.py -k "denegado or denied"`. Correspondencia: NIST CSF RS.MA.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Propiedad de los recursos (eje 5, I)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Una unidad compartida de la organización por ambiente, administrada por DSI; la cuenta técnica es Content manager y la cuenta de servicio no es miembro (actúa como la cuenta técnica, así que no se activa el indicador de externo). El uso compartido externo se restringe en la unidad (DSI-R3, pendiente de configurar en la unidad) Evidencia versionada: docs/seguridad/modelo-seguridad-cuenta-google-agente-1.md (sección 5).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Respuesta a incidentes (eje 7, I)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Contención por bloqueo de la cuenta técnica desde la alerta (DSI-D3): con la cuenta suspendida, la cuenta de servicio no puede hacerse pasar por ella. Para el agente es un cambio de emergencia: se suspende, no se corrige en caliente; DSI rehabilita y rota (DSI-D4) Evidencia versionada: docs/seguridad/modelo-seguridad-cuenta-google-agente-1.md (sección 7); docs/adr/0007-el-traspaso-reparte-tres-responsables-y-el-autor-no-conserva-acceso.md. Correspondencia: NIST CSF RS.MA.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Detección de modificaciones no autorizadas (eje 6, I)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Trazabilidad. Seis reglas de actividad sólo de notificación en el centro de alertas, configuradas por DSI (inicio de sesión de la cuenta técnica, cambio de contraseña o 2SV, nuevo permiso OAuth, cambio de miembros o uso compartido de la unidad, cambios de admin, cambio de DWD). Registro de auditoría de Workspace con 6 meses de retención fija. Google: https://support.google.com/a/answer/11341109 y https://support.google.com/a/answer/7061566 Evidencia versionada: docs/seguridad/modelo-seguridad-cuenta-google-agente-1.md (sección 6). Correspondencia: NIST CSF DE.CM.</w:t>
            </w:r>
          </w:p>
        </w:tc>
      </w:tr>
      <w:tr>
        <w:tc>
          <w:tcPr>
            <w:tcW w:type="dxa" w:w="1440"/>
          </w:tcPr>
          <w:p>
            <w:r>
              <w:t>Google Workspace</w:t>
            </w:r>
          </w:p>
        </w:tc>
        <w:tc>
          <w:tcPr>
            <w:tcW w:type="dxa" w:w="1440"/>
          </w:tcPr>
          <w:p>
            <w:r>
              <w:t>Alerta automática de claves nuevas (eje 6, P)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Trazabilidad. Previsto–no implementado: las claves nuevas de la cuenta de servicio quedan en los registros de auditoría de Google Cloud del proyecto de DSI y se consultan como evidencia; una alerta automática sobre eso no está implementada porque su costo no está verificado Evidencia versionada: docs/seguridad/modelo-seguridad-cuenta-google-agente-1.md (sección 6). Correspondencia: MITRE T1552.004 (Unsecured Credentials: Private Keys).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NIST CSF como marco del sistema (declaración única)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Autenticación. El sistema de demostración se declara contra NIST CSF a nivel `Sistema`, una sola vez; las categorías citadas por ítem (`PR.AA`, `PR.PS`, `DE.CM`, `DE.AE`, `RS.MA`) orientan la lectura y no reemplazan la declaración por ítem Evidencia versionada: Contenido/DocumentacionAnteproyecto/Revision-Laboratorio-2025/3.0 - Procedimiento 2025.md; docs/seguridad/modelo-seguridad-cuenta-google-agente-1.md. Correspondencia: NIST CSF.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Gestión de sesiones de usuarios humanos del agente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No es necesario</w:t>
            </w:r>
          </w:p>
        </w:tc>
        <w:tc>
          <w:tcPr>
            <w:tcW w:type="dxa" w:w="1440"/>
          </w:tcPr>
          <w:p>
            <w:r>
              <w:t>Estado declarado por el autor: No aplica. Factor de seguridad: Autenticación. No aplica: el agente no tiene login de usuario final; las decisiones humanas se toman en Google Forms con la sesión de Google de cada persona, fuera del agente Evidencia versionada: docs/adr/0002-identidad-afirmada-por-el-canal-no-verificada.md; docs/adr/0005-identidad-verificada-por-formulario-rol-por-padron.md.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Perímetro de red y WAF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No es necesario</w:t>
            </w:r>
          </w:p>
        </w:tc>
        <w:tc>
          <w:tcPr>
            <w:tcW w:type="dxa" w:w="1440"/>
          </w:tcPr>
          <w:p>
            <w:r>
              <w:t>Estado declarado por el autor: No aplica. Factor de seguridad: Autorización. No aplica: el sistema de demostración no expone servicios entrantes; la superficie de entrada es un Form autenticado por Google y el canal de planilla offline, no un endpoint público Evidencia versionada: Documentos/Inventario/Inventario-Componentes-Sistema-Demostracion-v1.md.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Secretos fuera del repo y del log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Confidencialidad. Ningún secreto se versiona ni se escribe en logs, manifests ni mensajes de error; el env file vive en `~/.config/agente1/` (`chmod 600`, fuera del repo); los reportes publican hashes (`resumen_seguro`); el proyecto tiene cero dependencias de runtime Evidencia versionada: Implementacion/Agente1/pyproject.toml (dependencies = []); src/agente1/workspace_config.py; Implementacion/Agente1/src/agente1/workspace_auth.py; Implementacion/Agente1/README.md (tabla de decisiones). Paso en vivo: `uv run pytest -q tests/test_workspace_config.py`. Correspondencia: OWASP A02 (Cryptographic Failures) · OWASP A05 (Security Misconfiguration).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Respaldo sin cifrado del lado cliente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Confidencialidad. Previsto–no implementado (declarado): el respaldo diario no se cifra del lado del cliente; se confía en el cifrado en reposo de Google y en que la carpeta no se comparte. ADR 0009 lo declara y acepta el dominio de falla compartido con Google Evidencia versionada: docs/adr/0009-el-agente-respalda-su-estado-en-drive-y-borra-sus-propios-respaldos.md; src/agente1/respaldo.py.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Cifrado en tránsito hacia el modelo local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No es necesario</w:t>
            </w:r>
          </w:p>
        </w:tc>
        <w:tc>
          <w:tcPr>
            <w:tcW w:type="dxa" w:w="1440"/>
          </w:tcPr>
          <w:p>
            <w:r>
              <w:t>Estado declarado por el autor: No aplica. Factor de seguridad: Confidencialidad. No aplica: el modelo corre en la misma máquina y el adapter sólo acepta loopback (impedido en código), así que el tráfico no abandona el host y no hay canal que cifrar Evidencia versionada: src/agente1/ollama.py; tests/test_ollama.py.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Manifest de versión y arranque fail-closed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En modo operación el agente no arranca si algún archivo controlado (código, prompts, políticas, contratos, migraciones, `uv.lock`, `scripts`, `systemd`) no coincide con el manifest; deja en `logs/integridad-arranque.jsonl` el archivo, el hash esperado y el encontrado (#92, ADR 0010) Evidencia versionada: src/agente1/manifest_version.py; tests/test_integridad_arranque.py (test_live_no_arranca_si_un_archivo_controlado_difiere); tests/test_manifest_version.py; Implementacion/Agente1/evidencias/integridad-arranque-2026-10-14.md. Paso en vivo: `uv run pytest -q tests/test_integridad_arranque.py tests/test_manifest_version.py`. Correspondencia: OWASP A08 (Software and Data Integrity Failures) · NIST CSF PR.PS.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Lista cerrada de cuentas suplantables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El agente sólo se hace pasar por las cuentas de la lista cerrada (hoy, sólo la cuenta técnica); el archivo guarda el sha256 de cada dirección, entra en el manifest y su suma es un cambio controlado que aprueba la SEU (#98, ADR 0011) Evidencia versionada: src/agente1/workspace_auth.py; src/agente1/contracts/cuentas_suplantables_v1.json; tests/test_workspace_cuenta_servicio.py. Paso en vivo: `uv run pytest -q tests/test_workspace_cuenta_servicio.py`. Correspondencia: MITRE T1078 (Valid Accounts).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Registro y aviso de cambios de configuración por entorno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La huella de la configuración por entorno (sin secretos: rotar una credencial no la altera) se compara con la de la corrida anterior; un cambio queda asentado con las claves afectadas, sin sus valores, y avisa al operador (#94, ADR 0010) Evidencia versionada: src/agente1/config_entorno.py; tests/test_config_entorno.py (test_la_rotacion_de_credenciales_no_altera_la_huella; test_cambio_de_una_clave_registra_claves_sin_valores_y_avisa); Implementacion/Agente1/evidencias/config-entorno-cambios-2026-10-14.md. Paso en vivo: `uv run pytest -q tests/test_config_entorno.py`. Correspondencia: NIST CSF PR.PS.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Control de cambios: CI, cobertura y linter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CI corre ruff (E/F/I/W) y pytest con cobertura (90 % branch) sobre `Implementacion/Agente1/**`, y prueba el ciclo `up`/`down` de las migraciones 0001-0003 sobre PostgreSQL efímero (#90, #95) Evidencia versionada: .github/workflows/agente1-ci.yml; tests/test_migraciones_down_ciclo.py; Implementacion/Agente1/evidencias/ciclo-migraciones-down-postgresql-2026-10-14.md. Paso en vivo: `uv run pytest -q tests/test_migraciones_down_ciclo.py`. Correspondencia: OWASP A08 (Software and Data Integrity Failures).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Protección de la rama `main` y plantilla de PR</w:t>
            </w:r>
          </w:p>
        </w:tc>
        <w:tc>
          <w:tcPr>
            <w:tcW w:type="dxa" w:w="1440"/>
          </w:tcPr>
          <w:p>
            <w:r>
              <w:t>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B. Factor de seguridad: Integridad. Preparado, sin activar: el runbook trae el comando de activación y hoy `main` acepta push directo (`404 Branch not protected`). La activación es un paso del operador; hasta entonces la fila es `B`, no `A` (#96) Evidencia versionada: Documentos/PlanDespliegue/Runbook-Proteccion-Rama-Main-Agente-1.md. Paso en vivo: Paso planificado (no ejecutado): activar la protección de rama `main` siguiendo el runbook. Correspondencia: OWASP A08 (Software and Data Integrity Failures).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Manifest del inventario y foto de los anexos</w:t>
            </w:r>
          </w:p>
        </w:tc>
        <w:tc>
          <w:tcPr>
            <w:tcW w:type="dxa" w:w="1440"/>
          </w:tcPr>
          <w:p>
            <w:r>
              <w:t>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A. Factor de seguridad: Integridad. El inventario de componentes se actualiza en el mismo commit en que entra un componente y los anexos citan la foto con el commit de la base; los tres anexos declaran una sola foto Evidencia versionada: Documentos/Inventario/Inventario-Componentes-Sistema-Demostracion-v1.md. Paso en vivo: `git rev-parse --short HEAD` en la entrega.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Sin detección de anomalías del lado del agente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Integridad. Previsto–no implementado (requerido): el agente no detecta patrones anómalos de uso; la detección del ambiente la aporta el centro de alertas de Workspace (eje 6), que es responsabilidad de DSI Evidencia versionada: docs/seguridad/modelo-seguridad-cuenta-google-agente-1.md (sección 6). Correspondencia: NIST CSF DE.AE.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Sin límite de tasa (rate limiting)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Integridad. Previsto–no implementado (requerido): el canal y el modelo no aplican límites de tasa propios; la mitigación disponible es el techo de decodificación (`num_predict`) y que el volumen informado por la SEU consume menos del 4 % de una jornada Evidencia versionada: Implementacion/Agente1/evidencias/benchmark-capacidad-a1-2026-08-26.md; docs/seguridad/modelo-seguridad-cuenta-google-agente-1.md. Correspondencia: OWASP A04 (Insecure Design) · MITRE T1499 (Endpoint Denial of Service).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Sin colector externo de logs ni cadena de eventos con integridad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Integridad. Previsto–no implementado: la auditoría es append-only local bajo `logs/`, sin encadenamiento criptográfico (WORM) ni colector externo; un registro corrupto se trata fail-closed, pero no hay prueba de no alteración posterior (riesgo de repudio) Evidencia versionada: src/agente1/registro_auditoria.py; Documentos/PlanRiesgos/Plan-Riesgos-Agente-1-PPS-Juan-Ignacio-Gone.md (R-TRA-01). Correspondencia: MITRE T1070 (Indicator Removal) · NIST CSF DE.AE.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Sin límites de recursos del proceso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Integridad. Previsto–no implementado (requerido): no hay cgroups ni límites de memoria/CPU para el proceso del agente ni para el runtime del modelo Evidencia versionada: src/agente1/ollama.py; Implementacion/Agente1/systemd/agente1-scheduler.service. Correspondencia: OWASP A04 (Insecure Design).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Sin aislamiento de ejecución del modelo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Integridad. Previsto–no implementado (requerido): Ollama corre en el mismo host, escuchando en loopback; no hay sandbox ni contenedor separado para la ejecución del modelo Evidencia versionada: src/agente1/ollama.py; Documentos/Inventario/Inventario-Componentes-Sistema-Demostracion-v1.md.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Sin secret scanning automatizado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Integridad. Previsto–no implementado (requerido): no hay gitleaks ni hook de pre-commit para secret scanning; la salvaguarda hoy es la revisión manual y que no hay dependencias de runtime Evidencia versionada: Implementacion/Agente1/pyproject.toml. Correspondencia: OWASP A05 (Security Misconfiguration) · MITRE T1552 (Unsecured Credentials).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Sin auditoría de dependencias (SCA)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Integridad. Previsto–no implementado: no hay `pip-audit` ni Dependabot; la superficie de supply chain es nula hoy porque el runtime tiene cero dependencias y `uv.lock` está versionado Evidencia versionada: Implementacion/Agente1/pyproject.toml; Implementacion/Agente1/uv.lock. Correspondencia: OWASP A06 (Vulnerable and Outdated Components) · MITRE T1195 (Supply Chain Compromise).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Calidad de datos de las entradas (ISO 25012)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Remite. Factor de seguridad: Integridad. La validación de las entradas que cruzan un gate (planilla de actividades, padrón, plan de pago, lista de cierre, comprobantes) se declara en el Anexo 2; el Anexo 3 declara el tratamiento (minimización, retención, auditoría sólo-hashes) Evidencia versionada: Documentos/Laboratorio/Perfil-Calidad-Sistema-Demostracion-v1.md.</w:t>
            </w:r>
          </w:p>
        </w:tc>
      </w:tr>
      <w:tr>
        <w:tc>
          <w:tcPr>
            <w:tcW w:type="dxa" w:w="1440"/>
          </w:tcPr>
          <w:p>
            <w:r>
              <w:t>Sistema</w:t>
            </w:r>
          </w:p>
        </w:tc>
        <w:tc>
          <w:tcPr>
            <w:tcW w:type="dxa" w:w="1440"/>
          </w:tcPr>
          <w:p>
            <w:r>
              <w:t>Host de demostración D3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Debe Implem.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Estado declarado por el autor: C. Factor de seguridad: Disponibilidad. Previsto–no provisto: el sistema de demostración corre en la laptop del autor (D2 live); el host institucional D3 depende de que DSI lo entregue y de que el E2E completo pase ahí antes de la revisión Evidencia versionada: Documentos/Inventario/Inventario-Componentes-Sistema-Demostracion-v1.md (insumos provisionales).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